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133" w:rsidRPr="00635D0F" w:rsidRDefault="00486133" w:rsidP="00486133">
      <w:pPr>
        <w:keepNext/>
        <w:keepLines/>
        <w:pBdr>
          <w:top w:val="single" w:sz="4" w:space="1" w:color="auto"/>
          <w:bottom w:val="single" w:sz="4" w:space="1" w:color="auto"/>
        </w:pBdr>
        <w:spacing w:before="240"/>
        <w:outlineLvl w:val="0"/>
        <w:rPr>
          <w:sz w:val="26"/>
          <w:szCs w:val="26"/>
          <w:lang w:eastAsia="en-US"/>
        </w:rPr>
      </w:pPr>
      <w:bookmarkStart w:id="0" w:name="_Toc100846820"/>
      <w:r w:rsidRPr="00635D0F">
        <w:rPr>
          <w:sz w:val="26"/>
          <w:szCs w:val="26"/>
          <w:lang w:eastAsia="en-US"/>
        </w:rPr>
        <w:t>1.5. Географическое положение</w:t>
      </w:r>
      <w:bookmarkEnd w:id="0"/>
    </w:p>
    <w:p w:rsidR="00486133" w:rsidRPr="00635D0F" w:rsidRDefault="00486133" w:rsidP="00486133">
      <w:pPr>
        <w:jc w:val="center"/>
        <w:rPr>
          <w:rFonts w:eastAsiaTheme="minorHAnsi" w:cstheme="minorBidi"/>
          <w:color w:val="0000CC"/>
          <w:sz w:val="26"/>
          <w:szCs w:val="26"/>
          <w:lang w:eastAsia="en-US"/>
        </w:rPr>
      </w:pPr>
    </w:p>
    <w:p w:rsidR="00486133" w:rsidRDefault="00486133" w:rsidP="00486133">
      <w:pPr>
        <w:ind w:firstLine="851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968D6">
        <w:rPr>
          <w:rFonts w:ascii="Calibri" w:eastAsia="Calibri" w:hAnsi="Calibri"/>
          <w:noProof/>
          <w:sz w:val="22"/>
          <w:szCs w:val="22"/>
        </w:rPr>
        <w:drawing>
          <wp:anchor distT="79248" distB="123317" distL="217932" distR="218694" simplePos="0" relativeHeight="251659264" behindDoc="1" locked="0" layoutInCell="1" allowOverlap="1" wp14:anchorId="25487E6C" wp14:editId="6926C52E">
            <wp:simplePos x="0" y="0"/>
            <wp:positionH relativeFrom="column">
              <wp:posOffset>3237230</wp:posOffset>
            </wp:positionH>
            <wp:positionV relativeFrom="paragraph">
              <wp:posOffset>61595</wp:posOffset>
            </wp:positionV>
            <wp:extent cx="2266950" cy="1656715"/>
            <wp:effectExtent l="133350" t="114300" r="114300" b="153035"/>
            <wp:wrapTight wrapText="bothSides">
              <wp:wrapPolygon edited="0">
                <wp:start x="-908" y="-1490"/>
                <wp:lineTo x="-1271" y="-993"/>
                <wp:lineTo x="-1089" y="23347"/>
                <wp:lineTo x="22508" y="23347"/>
                <wp:lineTo x="22508" y="-1490"/>
                <wp:lineTo x="-908" y="-1490"/>
              </wp:wrapPolygon>
            </wp:wrapTight>
            <wp:docPr id="15" name="Рисунок 15" descr="ког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ког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567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8D6">
        <w:rPr>
          <w:rFonts w:eastAsia="Calibri"/>
          <w:sz w:val="26"/>
          <w:szCs w:val="26"/>
          <w:lang w:eastAsia="en-US"/>
        </w:rPr>
        <w:t>Город Когалым расположен в северо-восточной части Ханты-Мансийского автономного округа – Югры Тюменской области</w:t>
      </w:r>
      <w:r w:rsidRPr="00635D0F">
        <w:rPr>
          <w:rFonts w:eastAsia="Calibri"/>
          <w:sz w:val="26"/>
          <w:szCs w:val="26"/>
          <w:lang w:eastAsia="en-US"/>
        </w:rPr>
        <w:t xml:space="preserve">, граничит с </w:t>
      </w:r>
      <w:proofErr w:type="spellStart"/>
      <w:r w:rsidRPr="00635D0F">
        <w:rPr>
          <w:rFonts w:eastAsia="Calibri"/>
          <w:sz w:val="26"/>
          <w:szCs w:val="26"/>
          <w:lang w:eastAsia="en-US"/>
        </w:rPr>
        <w:t>Сургутским</w:t>
      </w:r>
      <w:proofErr w:type="spellEnd"/>
      <w:r w:rsidRPr="00635D0F">
        <w:rPr>
          <w:rFonts w:eastAsia="Calibri"/>
          <w:sz w:val="26"/>
          <w:szCs w:val="26"/>
          <w:lang w:eastAsia="en-US"/>
        </w:rPr>
        <w:t xml:space="preserve"> и </w:t>
      </w:r>
      <w:proofErr w:type="spellStart"/>
      <w:proofErr w:type="gramStart"/>
      <w:r w:rsidRPr="00635D0F">
        <w:rPr>
          <w:rFonts w:eastAsia="Calibri"/>
          <w:sz w:val="26"/>
          <w:szCs w:val="26"/>
          <w:lang w:eastAsia="en-US"/>
        </w:rPr>
        <w:t>Нижневартовским</w:t>
      </w:r>
      <w:proofErr w:type="spellEnd"/>
      <w:r w:rsidRPr="00635D0F">
        <w:rPr>
          <w:rFonts w:eastAsia="Calibri"/>
          <w:sz w:val="26"/>
          <w:szCs w:val="26"/>
          <w:lang w:eastAsia="en-US"/>
        </w:rPr>
        <w:t xml:space="preserve">  районами</w:t>
      </w:r>
      <w:proofErr w:type="gramEnd"/>
      <w:r w:rsidRPr="00635D0F">
        <w:rPr>
          <w:rFonts w:eastAsia="Calibri"/>
          <w:sz w:val="26"/>
          <w:szCs w:val="26"/>
          <w:lang w:eastAsia="en-US"/>
        </w:rPr>
        <w:t xml:space="preserve"> и находится на расстоянии около 800 км от города Тюмени, 320 км от города Ханты-Мансийска, 160 км от города Сургута (88 км по железной дороге), 230 км от города Нижневартовска.</w:t>
      </w:r>
      <w:r w:rsidRPr="00635D0F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486133" w:rsidRPr="00635D0F" w:rsidRDefault="00486133" w:rsidP="00486133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1A1E5F">
        <w:rPr>
          <w:sz w:val="26"/>
          <w:szCs w:val="26"/>
        </w:rPr>
        <w:t>Город окружного значения Когалым в соответствии с Законом Ханты-Мансийского автономного округа – Югры от 07.07.2004 №43-оз «Об административно-территориальном устройстве Ханты-Мансийского автономного округа – Югры и порядке его изменения» является административно-территориальной единицей Ханты-Мансийского автономного округа – Югры.</w:t>
      </w:r>
    </w:p>
    <w:p w:rsidR="00486133" w:rsidRPr="00635D0F" w:rsidRDefault="00486133" w:rsidP="00486133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635D0F">
        <w:rPr>
          <w:rFonts w:eastAsia="Calibri"/>
          <w:sz w:val="26"/>
          <w:szCs w:val="26"/>
          <w:lang w:eastAsia="en-US"/>
        </w:rPr>
        <w:t xml:space="preserve">В состав городского округа входят город Когалым и посёлок </w:t>
      </w:r>
      <w:proofErr w:type="spellStart"/>
      <w:r w:rsidRPr="00635D0F">
        <w:rPr>
          <w:rFonts w:eastAsia="Calibri"/>
          <w:sz w:val="26"/>
          <w:szCs w:val="26"/>
          <w:lang w:eastAsia="en-US"/>
        </w:rPr>
        <w:t>Ортъягун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расположенный </w:t>
      </w:r>
      <w:r w:rsidRPr="00635D0F">
        <w:rPr>
          <w:rFonts w:eastAsia="Calibri"/>
          <w:sz w:val="26"/>
          <w:szCs w:val="26"/>
          <w:lang w:eastAsia="en-US"/>
        </w:rPr>
        <w:t xml:space="preserve">на расстоянии 20 км от северной </w:t>
      </w:r>
      <w:proofErr w:type="spellStart"/>
      <w:r w:rsidRPr="00635D0F">
        <w:rPr>
          <w:rFonts w:eastAsia="Calibri"/>
          <w:sz w:val="26"/>
          <w:szCs w:val="26"/>
          <w:lang w:eastAsia="en-US"/>
        </w:rPr>
        <w:t>промзоны</w:t>
      </w:r>
      <w:proofErr w:type="spellEnd"/>
      <w:r w:rsidRPr="00635D0F">
        <w:rPr>
          <w:rFonts w:eastAsia="Calibri"/>
          <w:sz w:val="26"/>
          <w:szCs w:val="26"/>
          <w:lang w:eastAsia="en-US"/>
        </w:rPr>
        <w:t xml:space="preserve">. Территория городского округа имеет площадь 20 700 га и представляет слегка всхолмленную равнину, изрезанную протоками, озерами (озеро </w:t>
      </w:r>
      <w:proofErr w:type="spellStart"/>
      <w:r w:rsidRPr="00635D0F">
        <w:rPr>
          <w:rFonts w:eastAsia="Calibri"/>
          <w:sz w:val="26"/>
          <w:szCs w:val="26"/>
          <w:lang w:eastAsia="en-US"/>
        </w:rPr>
        <w:t>Михпаимлор</w:t>
      </w:r>
      <w:proofErr w:type="spellEnd"/>
      <w:r w:rsidRPr="00635D0F">
        <w:rPr>
          <w:rFonts w:eastAsia="Calibri"/>
          <w:sz w:val="26"/>
          <w:szCs w:val="26"/>
          <w:lang w:eastAsia="en-US"/>
        </w:rPr>
        <w:t xml:space="preserve"> и озеро </w:t>
      </w:r>
      <w:proofErr w:type="spellStart"/>
      <w:r w:rsidRPr="00635D0F">
        <w:rPr>
          <w:rFonts w:eastAsia="Calibri"/>
          <w:sz w:val="26"/>
          <w:szCs w:val="26"/>
          <w:lang w:eastAsia="en-US"/>
        </w:rPr>
        <w:t>Тончимлор</w:t>
      </w:r>
      <w:proofErr w:type="spellEnd"/>
      <w:r w:rsidRPr="00635D0F">
        <w:rPr>
          <w:rFonts w:eastAsia="Calibri"/>
          <w:sz w:val="26"/>
          <w:szCs w:val="26"/>
          <w:lang w:eastAsia="en-US"/>
        </w:rPr>
        <w:t>), старицами, представляющими водную систему рек Ингу-</w:t>
      </w:r>
      <w:proofErr w:type="spellStart"/>
      <w:r w:rsidRPr="00635D0F">
        <w:rPr>
          <w:rFonts w:eastAsia="Calibri"/>
          <w:sz w:val="26"/>
          <w:szCs w:val="26"/>
          <w:lang w:eastAsia="en-US"/>
        </w:rPr>
        <w:t>Ягун</w:t>
      </w:r>
      <w:proofErr w:type="spellEnd"/>
      <w:r w:rsidRPr="00635D0F">
        <w:rPr>
          <w:rFonts w:eastAsia="Calibri"/>
          <w:sz w:val="26"/>
          <w:szCs w:val="26"/>
          <w:lang w:eastAsia="en-US"/>
        </w:rPr>
        <w:t xml:space="preserve"> и Кирилл-</w:t>
      </w:r>
      <w:proofErr w:type="spellStart"/>
      <w:r w:rsidRPr="00635D0F">
        <w:rPr>
          <w:rFonts w:eastAsia="Calibri"/>
          <w:sz w:val="26"/>
          <w:szCs w:val="26"/>
          <w:lang w:eastAsia="en-US"/>
        </w:rPr>
        <w:t>Высъягун</w:t>
      </w:r>
      <w:proofErr w:type="spellEnd"/>
      <w:r w:rsidRPr="00635D0F">
        <w:rPr>
          <w:rFonts w:eastAsia="Calibri"/>
          <w:sz w:val="26"/>
          <w:szCs w:val="26"/>
          <w:lang w:eastAsia="en-US"/>
        </w:rPr>
        <w:t>.</w:t>
      </w:r>
    </w:p>
    <w:p w:rsidR="00486133" w:rsidRPr="00635D0F" w:rsidRDefault="00486133" w:rsidP="00486133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635D0F">
        <w:rPr>
          <w:rFonts w:eastAsia="Calibri"/>
          <w:sz w:val="26"/>
          <w:szCs w:val="26"/>
          <w:lang w:eastAsia="en-US"/>
        </w:rPr>
        <w:t>Река Ингу-</w:t>
      </w:r>
      <w:proofErr w:type="spellStart"/>
      <w:r w:rsidRPr="00635D0F">
        <w:rPr>
          <w:rFonts w:eastAsia="Calibri"/>
          <w:sz w:val="26"/>
          <w:szCs w:val="26"/>
          <w:lang w:eastAsia="en-US"/>
        </w:rPr>
        <w:t>Я</w:t>
      </w:r>
      <w:r>
        <w:rPr>
          <w:rFonts w:eastAsia="Calibri"/>
          <w:sz w:val="26"/>
          <w:szCs w:val="26"/>
          <w:lang w:eastAsia="en-US"/>
        </w:rPr>
        <w:t>гун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делит город на правобережную</w:t>
      </w:r>
      <w:r w:rsidRPr="00635D0F">
        <w:rPr>
          <w:rFonts w:eastAsia="Calibri"/>
          <w:sz w:val="26"/>
          <w:szCs w:val="26"/>
          <w:lang w:eastAsia="en-US"/>
        </w:rPr>
        <w:t xml:space="preserve"> с капитальной застр</w:t>
      </w:r>
      <w:r>
        <w:rPr>
          <w:rFonts w:eastAsia="Calibri"/>
          <w:sz w:val="26"/>
          <w:szCs w:val="26"/>
          <w:lang w:eastAsia="en-US"/>
        </w:rPr>
        <w:t>ойкой 5-16 этажей и левобережную часть города</w:t>
      </w:r>
      <w:r w:rsidRPr="00635D0F">
        <w:rPr>
          <w:rFonts w:eastAsia="Calibri"/>
          <w:sz w:val="26"/>
          <w:szCs w:val="26"/>
          <w:lang w:eastAsia="en-US"/>
        </w:rPr>
        <w:t>. Левобережная часть города Когалыма сформирована вдоль железной дороги и представляет собой историческую часть города, поселок первой высадки строителей и нефтяников-первопроходцев. Вдоль железной дороги расположены территории производственного и коммунально-складского назначения. Жилые районы сформировались из исторических поселков: Пионерный, Фестивальный, Прибалтийских строителей. Районы разделены магистральной улицей, соединяющей их с правобережной центральной частью города Когалыма.</w:t>
      </w:r>
    </w:p>
    <w:p w:rsidR="00486133" w:rsidRPr="00635D0F" w:rsidRDefault="00486133" w:rsidP="00486133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635D0F">
        <w:rPr>
          <w:rFonts w:eastAsia="Calibri"/>
          <w:sz w:val="26"/>
          <w:szCs w:val="26"/>
          <w:lang w:eastAsia="en-US"/>
        </w:rPr>
        <w:t xml:space="preserve">Внешние транспортные связи осуществляются с помощью воздушного, железнодорожного и автомобильного транспорта. Город Когалым расположен на участке Свердловской железной дороги </w:t>
      </w:r>
      <w:proofErr w:type="spellStart"/>
      <w:r w:rsidRPr="00635D0F">
        <w:rPr>
          <w:rFonts w:eastAsia="Calibri"/>
          <w:sz w:val="26"/>
          <w:szCs w:val="26"/>
          <w:lang w:eastAsia="en-US"/>
        </w:rPr>
        <w:t>Ульт-Ягун</w:t>
      </w:r>
      <w:proofErr w:type="spellEnd"/>
      <w:r w:rsidRPr="00635D0F">
        <w:rPr>
          <w:rFonts w:eastAsia="Calibri"/>
          <w:sz w:val="26"/>
          <w:szCs w:val="26"/>
          <w:lang w:eastAsia="en-US"/>
        </w:rPr>
        <w:t xml:space="preserve"> – Ноябрьск. Кроме того, городской округ имеет аэропорт, расположенный в южной части города, и развитую сеть автомобильных дорог, связывающих городской округ как с соседними муниципальными образованиями, так и с месторождениями нефти.</w:t>
      </w:r>
    </w:p>
    <w:p w:rsidR="00486133" w:rsidRPr="00635D0F" w:rsidRDefault="00486133" w:rsidP="00486133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9F761D" w:rsidRPr="00486133" w:rsidRDefault="009F761D" w:rsidP="00486133">
      <w:bookmarkStart w:id="1" w:name="_GoBack"/>
      <w:bookmarkEnd w:id="1"/>
    </w:p>
    <w:sectPr w:rsidR="009F761D" w:rsidRPr="0048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E0"/>
    <w:rsid w:val="000523E0"/>
    <w:rsid w:val="0010056F"/>
    <w:rsid w:val="00190158"/>
    <w:rsid w:val="00486133"/>
    <w:rsid w:val="007450E8"/>
    <w:rsid w:val="009F761D"/>
    <w:rsid w:val="00A938A0"/>
    <w:rsid w:val="00AE04C1"/>
    <w:rsid w:val="00C344AE"/>
    <w:rsid w:val="00C95281"/>
    <w:rsid w:val="00DD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ADE55-4B69-42FF-A1BD-B0FCFA98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Гариева Лилия Владимировна</dc:creator>
  <cp:keywords/>
  <dc:description/>
  <cp:lastModifiedBy>Гариева Лилия Владимировна</cp:lastModifiedBy>
  <cp:revision>3</cp:revision>
  <dcterms:created xsi:type="dcterms:W3CDTF">2023-04-14T10:43:00Z</dcterms:created>
  <dcterms:modified xsi:type="dcterms:W3CDTF">2023-04-14T10:43:00Z</dcterms:modified>
</cp:coreProperties>
</file>