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D5" w:rsidRDefault="008923D5">
      <w:pPr>
        <w:pStyle w:val="ConsPlusNormal"/>
        <w:jc w:val="right"/>
        <w:outlineLvl w:val="0"/>
      </w:pPr>
      <w:r>
        <w:t>Приложение</w:t>
      </w:r>
    </w:p>
    <w:p w:rsidR="008923D5" w:rsidRDefault="008923D5">
      <w:pPr>
        <w:pStyle w:val="ConsPlusNormal"/>
        <w:jc w:val="right"/>
      </w:pPr>
      <w:r>
        <w:t>к постановлению Правительства</w:t>
      </w:r>
    </w:p>
    <w:p w:rsidR="008923D5" w:rsidRDefault="008923D5">
      <w:pPr>
        <w:pStyle w:val="ConsPlusNormal"/>
        <w:jc w:val="right"/>
      </w:pPr>
      <w:r>
        <w:t>Ханты-Мансийского</w:t>
      </w:r>
    </w:p>
    <w:p w:rsidR="008923D5" w:rsidRDefault="008923D5">
      <w:pPr>
        <w:pStyle w:val="ConsPlusNormal"/>
        <w:jc w:val="right"/>
      </w:pPr>
      <w:r>
        <w:t>автономного округа - Югры</w:t>
      </w:r>
    </w:p>
    <w:p w:rsidR="008923D5" w:rsidRDefault="008923D5">
      <w:pPr>
        <w:pStyle w:val="ConsPlusNormal"/>
        <w:jc w:val="right"/>
      </w:pPr>
      <w:r>
        <w:t>от 9 июня 2023 года N 253-п</w:t>
      </w:r>
    </w:p>
    <w:p w:rsidR="008923D5" w:rsidRDefault="008923D5">
      <w:pPr>
        <w:pStyle w:val="ConsPlusNormal"/>
      </w:pPr>
    </w:p>
    <w:p w:rsidR="008923D5" w:rsidRDefault="008923D5">
      <w:pPr>
        <w:pStyle w:val="ConsPlusTitle"/>
        <w:jc w:val="center"/>
      </w:pPr>
      <w:bookmarkStart w:id="0" w:name="P30"/>
      <w:bookmarkStart w:id="1" w:name="_GoBack"/>
      <w:bookmarkEnd w:id="0"/>
      <w:r>
        <w:t>ПОРЯДОК</w:t>
      </w:r>
    </w:p>
    <w:p w:rsidR="008923D5" w:rsidRDefault="008923D5">
      <w:pPr>
        <w:pStyle w:val="ConsPlusTitle"/>
        <w:jc w:val="center"/>
      </w:pPr>
      <w:r>
        <w:t>ОЦЕНКИ ИНВЕСТИЦИОННЫХ ПРОЕКТОВ, ДЛЯ РЕАЛИЗАЦИИ КОТОРЫХ</w:t>
      </w:r>
    </w:p>
    <w:p w:rsidR="008923D5" w:rsidRDefault="008923D5">
      <w:pPr>
        <w:pStyle w:val="ConsPlusTitle"/>
        <w:jc w:val="center"/>
      </w:pPr>
      <w:r>
        <w:t>ПРЕДОСТАВЛЯЮТСЯ ГОСУДАРСТВЕННЫЕ ГАРАНТИИ ХАНТЫ-МАНСИЙСКОГО</w:t>
      </w:r>
    </w:p>
    <w:p w:rsidR="008923D5" w:rsidRDefault="008923D5">
      <w:pPr>
        <w:pStyle w:val="ConsPlusTitle"/>
        <w:jc w:val="center"/>
      </w:pPr>
      <w:r>
        <w:t>АВТОНОМНОГО ОКРУГА - ЮГРЫ В СООТВЕТСТВИИ С ФЕДЕРАЛЬНЫМ</w:t>
      </w:r>
    </w:p>
    <w:p w:rsidR="008923D5" w:rsidRDefault="008923D5">
      <w:pPr>
        <w:pStyle w:val="ConsPlusTitle"/>
        <w:jc w:val="center"/>
      </w:pPr>
      <w:r>
        <w:t>ЗАКОНОДАТЕЛЬСТВОМ НА КОНКУРСНОЙ ОСНОВЕ ИЛИ БЕЗ ПРОВЕДЕНИЯ</w:t>
      </w:r>
    </w:p>
    <w:p w:rsidR="008923D5" w:rsidRDefault="008923D5">
      <w:pPr>
        <w:pStyle w:val="ConsPlusTitle"/>
        <w:jc w:val="center"/>
      </w:pPr>
      <w:r>
        <w:t>КОНКУРСА (ДАЛЕЕ - ПОРЯДОК)</w:t>
      </w:r>
    </w:p>
    <w:bookmarkEnd w:id="1"/>
    <w:p w:rsidR="008923D5" w:rsidRDefault="008923D5">
      <w:pPr>
        <w:pStyle w:val="ConsPlusNormal"/>
      </w:pPr>
    </w:p>
    <w:p w:rsidR="008923D5" w:rsidRDefault="008923D5">
      <w:pPr>
        <w:pStyle w:val="ConsPlusTitle"/>
        <w:jc w:val="center"/>
        <w:outlineLvl w:val="1"/>
      </w:pPr>
      <w:r>
        <w:t>Раздел I. ОБЩИЕ ПОЛОЖЕНИЯ</w:t>
      </w:r>
    </w:p>
    <w:p w:rsidR="008923D5" w:rsidRDefault="008923D5">
      <w:pPr>
        <w:pStyle w:val="ConsPlusNormal"/>
        <w:jc w:val="center"/>
      </w:pPr>
    </w:p>
    <w:p w:rsidR="008923D5" w:rsidRDefault="008923D5">
      <w:pPr>
        <w:pStyle w:val="ConsPlusNormal"/>
        <w:ind w:firstLine="540"/>
        <w:jc w:val="both"/>
      </w:pPr>
      <w:r>
        <w:t xml:space="preserve">1.1. Порядок разработан в соответствии с </w:t>
      </w:r>
      <w:hyperlink r:id="rId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июля 2021 года N 59-оз "О предоставлении государственных гарантий Ханты-Мансийского автономного округа - Югры", </w:t>
      </w:r>
      <w:hyperlink r:id="rId5">
        <w:r>
          <w:rPr>
            <w:color w:val="0000FF"/>
          </w:rPr>
          <w:t>порядком</w:t>
        </w:r>
      </w:hyperlink>
      <w:r>
        <w:t xml:space="preserve"> принятия решения о предоставлении (об отказе в предоставлении) государственной гарантии Ханты-Мансийского автономного округа - Югры, утвержденным постановлением Правительства Ханты-Мансийского автономного округа - Югры от 27 декабря 2021 года N 619-п (далее - порядок принятия решения, автономный округ), и устанавливает механизм оценки инвестиционных проектов, для реализации которых предоставляются государственные гарантии автономного округа в соответствии с федеральным законодательством на конкурсной основе или без проведения конкурса (далее также - Оценка, инвестиционный проект, государственные гарантии).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1.2. Оценку проводит исполнительный орган автономного округа, осуществляющий функции по реализации единой государственной политики в сфере инвестиционной деятельности, - Департамент экономического развития автономного округа (далее - Уполномоченный орган).</w:t>
      </w:r>
    </w:p>
    <w:p w:rsidR="008923D5" w:rsidRDefault="008923D5">
      <w:pPr>
        <w:pStyle w:val="ConsPlusNormal"/>
        <w:ind w:firstLine="540"/>
        <w:jc w:val="both"/>
      </w:pPr>
    </w:p>
    <w:p w:rsidR="008923D5" w:rsidRDefault="008923D5">
      <w:pPr>
        <w:pStyle w:val="ConsPlusTitle"/>
        <w:jc w:val="center"/>
        <w:outlineLvl w:val="1"/>
      </w:pPr>
      <w:r>
        <w:t>Раздел II. ПОРЯДОК ПРОВЕДЕНИЯ ОЦЕНКИ</w:t>
      </w:r>
    </w:p>
    <w:p w:rsidR="008923D5" w:rsidRDefault="008923D5">
      <w:pPr>
        <w:pStyle w:val="ConsPlusNormal"/>
        <w:ind w:firstLine="540"/>
        <w:jc w:val="both"/>
      </w:pPr>
    </w:p>
    <w:p w:rsidR="008923D5" w:rsidRDefault="008923D5">
      <w:pPr>
        <w:pStyle w:val="ConsPlusNormal"/>
        <w:ind w:firstLine="540"/>
        <w:jc w:val="both"/>
      </w:pPr>
      <w:r>
        <w:t>2.1. Исполнительный орган автономного округа, осуществляющий функции по реализации единой государственной политики и нормативному правовому регулированию в сфере, соответствующей направлению (цели) гарантирования, установленному в программе государственных гарантий автономного округа на очередной финансовый год и плановый период (далее - Курирующий орган):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 xml:space="preserve">2.1.1. В случае поступления в соответствии с программой государственных гарантий автономного округа на очередной финансовый год и плановый период от юридического лица, желающего получить государственную гарантию автономного округа, заявления и документов согласно перечню, предусмотренному порядком принятия решения (далее - документы), в срок, установленный </w:t>
      </w:r>
      <w:hyperlink r:id="rId6">
        <w:r>
          <w:rPr>
            <w:color w:val="0000FF"/>
          </w:rPr>
          <w:t>пунктом 4</w:t>
        </w:r>
      </w:hyperlink>
      <w:r>
        <w:t xml:space="preserve"> порядка принятия решения, создает комиссию по подготовке предложений (рекомендаций) для принятия решения о предоставлении (об отказе в предоставлении) государственной гарантии автономного округа (далее - комиссия), направляет указанные документы в Уполномоченный орган.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 xml:space="preserve">2.1.2. В случае принятия решения о проведении конкурса на право получения государственных гарантий автономного округа по кредитам, привлекаемым юридическими лицами на реализацию инвестиционных проектов в автономном округе (далее - конкурс), создает конкурсную комиссию согласно </w:t>
      </w:r>
      <w:hyperlink r:id="rId7">
        <w:r>
          <w:rPr>
            <w:color w:val="0000FF"/>
          </w:rPr>
          <w:t>пункту 13</w:t>
        </w:r>
      </w:hyperlink>
      <w:r>
        <w:t xml:space="preserve"> порядка принятия решения (далее - конкурсная комиссия), а также при поступлении документов от юридического лица, желающего принять участие в конкурсе, направляет их в срок, установленный </w:t>
      </w:r>
      <w:hyperlink r:id="rId8">
        <w:r>
          <w:rPr>
            <w:color w:val="0000FF"/>
          </w:rPr>
          <w:t>пунктом 19</w:t>
        </w:r>
      </w:hyperlink>
      <w:r>
        <w:t xml:space="preserve"> порядка принятия решения, в Уполномоченный орган.</w:t>
      </w:r>
    </w:p>
    <w:p w:rsidR="008923D5" w:rsidRDefault="008923D5">
      <w:pPr>
        <w:pStyle w:val="ConsPlusNormal"/>
        <w:spacing w:before="200"/>
        <w:ind w:firstLine="540"/>
        <w:jc w:val="both"/>
      </w:pPr>
      <w:bookmarkStart w:id="2" w:name="P47"/>
      <w:bookmarkEnd w:id="2"/>
      <w:r>
        <w:t>2.2. Уполномоченный орган в течение 20 рабочих дней со дня поступления от Курирующего органа документов проводит Оценку.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 xml:space="preserve">2.3. При проведении Оценки Уполномоченный орган в течение 2 рабочих дней со дня поступления документов направляет их в специализированную организацию автономного округа по привлечению инвестиций и работе с инвесторами, определенную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2017 года N 435-п "О порядке взаимодействия исполнительных органов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инвесторами, в том числе по вопросам формирования, согласования и контроля за выполнением </w:t>
      </w:r>
      <w:r>
        <w:lastRenderedPageBreak/>
        <w:t>показателей эффективности деятельности указанной организации" (далее - специализированная организация), с целью подготовки ею мнения на предмет социально-экономической и финансовой эффективности инвестиционного проекта (далее - мнение).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2.4. Специализированная организация в течение 8 рабочих дней со дня поступления документов: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2.4.1. Вносит инвестиционный проект в программное обеспечение "Оценка инвестиционных проектов Ханты-Мансийского автономного округа - Югры".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2.4.2. Осуществляет расчет чистой приведенной стоимости инвестиционного проекта (NPV), представляющей собой разность между всеми денежными поступлениями и расходами по нему, с учетом ставки дисконтирования, принимаемой к дате подготовки мнения в размере средневзвешенной стоимости капитала по инвестиционному проекту.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2.4.3. Подготавливает и направляет мнение, расчет чистой приведенной стоимости инвестиционного проекта (NPV) в Уполномоченный орган.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 xml:space="preserve">2.5. Уполномоченный орган в течение срока, определенного </w:t>
      </w:r>
      <w:hyperlink w:anchor="P47">
        <w:r>
          <w:rPr>
            <w:color w:val="0000FF"/>
          </w:rPr>
          <w:t>пунктом 2.2</w:t>
        </w:r>
      </w:hyperlink>
      <w:r>
        <w:t xml:space="preserve"> Порядка, проводит Оценку, подготавливает с учетом мнения заключение о результатах рассмотрения документов заявителя, в котором делает вывод о соответствии или несоответствии инвестиционного проекта критериям, указанным в </w:t>
      </w:r>
      <w:hyperlink w:anchor="P56">
        <w:r>
          <w:rPr>
            <w:color w:val="0000FF"/>
          </w:rPr>
          <w:t>пункте 2.6</w:t>
        </w:r>
      </w:hyperlink>
      <w:r>
        <w:t xml:space="preserve"> Порядка, и в срок, не превышающий трех рабочих дней со дня окончания срока проведения Оценки, представляет его: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2.5.1. В комиссию - в случае предоставления государственной гарантии без проведения конкурса.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2.5.2. В конкурсную комиссию - в случае предоставления государственной гарантии на конкурсной основе.</w:t>
      </w:r>
    </w:p>
    <w:p w:rsidR="008923D5" w:rsidRDefault="008923D5">
      <w:pPr>
        <w:pStyle w:val="ConsPlusNormal"/>
        <w:spacing w:before="200"/>
        <w:ind w:firstLine="540"/>
        <w:jc w:val="both"/>
      </w:pPr>
      <w:bookmarkStart w:id="3" w:name="P56"/>
      <w:bookmarkEnd w:id="3"/>
      <w:r>
        <w:t>2.6. Критерии оценки инвестиционного проекта: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 xml:space="preserve">2.6.1. Соответствует приоритетным направлениям, определенным </w:t>
      </w:r>
      <w:hyperlink r:id="rId10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автономного округа до 2036 года с целевыми ориентирами до 2050 года, утвержденной распоряжением Правительства автономного округа от 3 ноября 2022 года N 679-рп, и (или) целям государственных программ автономного округа.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2.6.2. Создает новые рабочие места.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2.6.3. Предусматривает привлечение инвестиций объемом не менее 3 млрд рублей.</w:t>
      </w:r>
    </w:p>
    <w:p w:rsidR="008923D5" w:rsidRDefault="008923D5">
      <w:pPr>
        <w:pStyle w:val="ConsPlusNormal"/>
        <w:spacing w:before="200"/>
        <w:ind w:firstLine="540"/>
        <w:jc w:val="both"/>
      </w:pPr>
      <w:r>
        <w:t>2.6.4. Чистая приведенная стоимость инвестиционного проекта (NPV) является положительной величиной.</w:t>
      </w:r>
    </w:p>
    <w:p w:rsidR="008923D5" w:rsidRDefault="008923D5">
      <w:pPr>
        <w:pStyle w:val="ConsPlusNormal"/>
        <w:ind w:firstLine="540"/>
        <w:jc w:val="both"/>
      </w:pPr>
    </w:p>
    <w:p w:rsidR="008923D5" w:rsidRDefault="008923D5">
      <w:pPr>
        <w:pStyle w:val="ConsPlusNormal"/>
        <w:ind w:firstLine="540"/>
        <w:jc w:val="both"/>
      </w:pPr>
    </w:p>
    <w:p w:rsidR="008923D5" w:rsidRDefault="008923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939" w:rsidRDefault="00D96939"/>
    <w:sectPr w:rsidR="00D96939" w:rsidSect="00A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D5"/>
    <w:rsid w:val="008923D5"/>
    <w:rsid w:val="00D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2217-CFAD-491D-AF05-CD5C658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3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3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3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9628229A1C09AF0AF8B3162DC2B721ED804C81C4197E3EB604AB0DABC4D5CB170E4088A3E80D6733EAFE2FB5580DE8C6A75B9D5C502A541E3111ABG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29628229A1C09AF0AF8B3162DC2B721ED804C81C4197E3EB604AB0DABC4D5CB170E4088A3E80D6733EAFC2BB5580DE8C6A75B9D5C502A541E3111ABG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9628229A1C09AF0AF8B3162DC2B721ED804C81C4197E3EB604AB0DABC4D5CB170E4088A3E80D6733EAFA26B5580DE8C6A75B9D5C502A541E3111ABG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729628229A1C09AF0AF8B3162DC2B721ED804C81C4197E3EB604AB0DABC4D5CB170E4088A3E80D6733EAF928B5580DE8C6A75B9D5C502A541E3111ABGCO" TargetMode="External"/><Relationship Id="rId10" Type="http://schemas.openxmlformats.org/officeDocument/2006/relationships/hyperlink" Target="consultantplus://offline/ref=F4729628229A1C09AF0AF8B3162DC2B721ED804C81C41C7836BA04AB0DABC4D5CB170E4088A3E80D6733EAF929B5580DE8C6A75B9D5C502A541E3111ABGCO" TargetMode="External"/><Relationship Id="rId4" Type="http://schemas.openxmlformats.org/officeDocument/2006/relationships/hyperlink" Target="consultantplus://offline/ref=F4729628229A1C09AF0AF8B3162DC2B721ED804C81C41D7434B704AB0DABC4D5CB170E409AA3B001663BF4F829A00E5CAEA9G0O" TargetMode="External"/><Relationship Id="rId9" Type="http://schemas.openxmlformats.org/officeDocument/2006/relationships/hyperlink" Target="consultantplus://offline/ref=F4729628229A1C09AF0AF8B3162DC2B721ED804C81C51C7F32BA04AB0DABC4D5CB170E409AA3B001663BF4F829A00E5CAEA9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2023-07-18T14:05:00Z</dcterms:created>
  <dcterms:modified xsi:type="dcterms:W3CDTF">2023-07-18T14:11:00Z</dcterms:modified>
</cp:coreProperties>
</file>