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F4" w:rsidRDefault="00372BF4">
      <w:pPr>
        <w:pStyle w:val="ConsPlusNormal"/>
        <w:jc w:val="right"/>
        <w:outlineLvl w:val="0"/>
      </w:pPr>
      <w:bookmarkStart w:id="0" w:name="_GoBack"/>
      <w:bookmarkEnd w:id="0"/>
      <w:r>
        <w:t>Приложение</w:t>
      </w:r>
    </w:p>
    <w:p w:rsidR="00372BF4" w:rsidRDefault="00372BF4">
      <w:pPr>
        <w:pStyle w:val="ConsPlusNormal"/>
        <w:jc w:val="right"/>
      </w:pPr>
      <w:r>
        <w:t>к решению Думы</w:t>
      </w:r>
    </w:p>
    <w:p w:rsidR="00372BF4" w:rsidRDefault="00372BF4">
      <w:pPr>
        <w:pStyle w:val="ConsPlusNormal"/>
        <w:jc w:val="right"/>
      </w:pPr>
      <w:r>
        <w:t>города Когалыма</w:t>
      </w:r>
    </w:p>
    <w:p w:rsidR="00372BF4" w:rsidRDefault="00372BF4">
      <w:pPr>
        <w:pStyle w:val="ConsPlusNormal"/>
        <w:jc w:val="right"/>
      </w:pPr>
      <w:r>
        <w:t>от 23.05.2014 N 426-ГД</w:t>
      </w:r>
    </w:p>
    <w:p w:rsidR="00372BF4" w:rsidRDefault="00372BF4">
      <w:pPr>
        <w:pStyle w:val="ConsPlusNormal"/>
      </w:pPr>
    </w:p>
    <w:p w:rsidR="00372BF4" w:rsidRDefault="00372BF4">
      <w:pPr>
        <w:pStyle w:val="ConsPlusTitle"/>
        <w:jc w:val="center"/>
      </w:pPr>
      <w:bookmarkStart w:id="1" w:name="P30"/>
      <w:bookmarkEnd w:id="1"/>
      <w:r>
        <w:t>ПОРЯДОК</w:t>
      </w:r>
    </w:p>
    <w:p w:rsidR="00372BF4" w:rsidRDefault="00372BF4">
      <w:pPr>
        <w:pStyle w:val="ConsPlusTitle"/>
        <w:jc w:val="center"/>
      </w:pPr>
      <w:r>
        <w:t>ПРЕДОСТАВЛЕНИЯ МУНИЦИПАЛЬНЫХ ГАРАНТИЙ ГОРОДА КОГАЛЫМА</w:t>
      </w:r>
    </w:p>
    <w:p w:rsidR="00372BF4" w:rsidRDefault="00372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2B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BF4" w:rsidRDefault="00372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BF4" w:rsidRDefault="00372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BF4" w:rsidRDefault="00372BF4">
            <w:pPr>
              <w:pStyle w:val="ConsPlusNormal"/>
              <w:jc w:val="center"/>
            </w:pPr>
            <w:r>
              <w:rPr>
                <w:color w:val="392C69"/>
              </w:rPr>
              <w:t>Список изменяющих документов</w:t>
            </w:r>
          </w:p>
          <w:p w:rsidR="00372BF4" w:rsidRDefault="00372BF4">
            <w:pPr>
              <w:pStyle w:val="ConsPlusNormal"/>
              <w:jc w:val="center"/>
            </w:pPr>
            <w:r>
              <w:rPr>
                <w:color w:val="392C69"/>
              </w:rPr>
              <w:t xml:space="preserve">(в ред. решений Думы города Когалыма от 19.02.2020 </w:t>
            </w:r>
            <w:hyperlink r:id="rId4">
              <w:r>
                <w:rPr>
                  <w:color w:val="0000FF"/>
                </w:rPr>
                <w:t>N 386-ГД</w:t>
              </w:r>
            </w:hyperlink>
            <w:r>
              <w:rPr>
                <w:color w:val="392C69"/>
              </w:rPr>
              <w:t>,</w:t>
            </w:r>
          </w:p>
          <w:p w:rsidR="00372BF4" w:rsidRDefault="00372BF4">
            <w:pPr>
              <w:pStyle w:val="ConsPlusNormal"/>
              <w:jc w:val="center"/>
            </w:pPr>
            <w:r>
              <w:rPr>
                <w:color w:val="392C69"/>
              </w:rPr>
              <w:t xml:space="preserve">от 17.06.2020 </w:t>
            </w:r>
            <w:hyperlink r:id="rId5">
              <w:r>
                <w:rPr>
                  <w:color w:val="0000FF"/>
                </w:rPr>
                <w:t>N 419-ГД</w:t>
              </w:r>
            </w:hyperlink>
            <w:r>
              <w:rPr>
                <w:color w:val="392C69"/>
              </w:rPr>
              <w:t xml:space="preserve">, от 22.06.2022 </w:t>
            </w:r>
            <w:hyperlink r:id="rId6">
              <w:r>
                <w:rPr>
                  <w:color w:val="0000FF"/>
                </w:rPr>
                <w:t>N 125-ГД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BF4" w:rsidRDefault="00372BF4">
            <w:pPr>
              <w:pStyle w:val="ConsPlusNormal"/>
            </w:pPr>
          </w:p>
        </w:tc>
      </w:tr>
    </w:tbl>
    <w:p w:rsidR="00372BF4" w:rsidRDefault="00372BF4">
      <w:pPr>
        <w:pStyle w:val="ConsPlusNormal"/>
        <w:jc w:val="center"/>
      </w:pPr>
    </w:p>
    <w:p w:rsidR="00372BF4" w:rsidRDefault="00372BF4">
      <w:pPr>
        <w:pStyle w:val="ConsPlusTitle"/>
        <w:jc w:val="center"/>
        <w:outlineLvl w:val="1"/>
      </w:pPr>
      <w:r>
        <w:t>1. Основные понятия и определения</w:t>
      </w:r>
    </w:p>
    <w:p w:rsidR="00372BF4" w:rsidRDefault="00372BF4">
      <w:pPr>
        <w:pStyle w:val="ConsPlusNormal"/>
        <w:jc w:val="center"/>
      </w:pPr>
    </w:p>
    <w:p w:rsidR="00372BF4" w:rsidRDefault="00372BF4">
      <w:pPr>
        <w:pStyle w:val="ConsPlusNormal"/>
        <w:ind w:firstLine="540"/>
        <w:jc w:val="both"/>
      </w:pPr>
      <w:r>
        <w:t xml:space="preserve">1.1. Настоящий Порядок предоставления муниципальных гарантий города Когалыма (далее - Порядок) разработан в соответствии с Бюджетным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и устанавливает процедуру предоставления муниципальных гарантий города Когалыма.</w:t>
      </w:r>
    </w:p>
    <w:p w:rsidR="00372BF4" w:rsidRDefault="00372BF4">
      <w:pPr>
        <w:pStyle w:val="ConsPlusNormal"/>
        <w:spacing w:before="200"/>
        <w:ind w:firstLine="540"/>
        <w:jc w:val="both"/>
      </w:pPr>
      <w:r>
        <w:t>1.2.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города Когалыма (далее - бюджет города)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72BF4" w:rsidRDefault="00372BF4">
      <w:pPr>
        <w:pStyle w:val="ConsPlusNormal"/>
        <w:spacing w:before="200"/>
        <w:ind w:firstLine="540"/>
        <w:jc w:val="both"/>
      </w:pPr>
      <w:r>
        <w:t>1.3. Гарант - муниципальное образование Ханты-Мансийского автономного округа - Югры городской округ город Когалым (далее - муниципальное образование) от имени которого выступает Администрация города Когалыма (далее - Администрация города).</w:t>
      </w:r>
    </w:p>
    <w:p w:rsidR="00372BF4" w:rsidRDefault="00372BF4">
      <w:pPr>
        <w:pStyle w:val="ConsPlusNormal"/>
        <w:spacing w:before="200"/>
        <w:ind w:firstLine="540"/>
        <w:jc w:val="both"/>
      </w:pPr>
      <w:r>
        <w:t>1.4. Принципал - юридическое лицо, в обеспечение обязательств которого предоставлена муниципальная гарантия.</w:t>
      </w:r>
    </w:p>
    <w:p w:rsidR="00372BF4" w:rsidRDefault="00372BF4">
      <w:pPr>
        <w:pStyle w:val="ConsPlusNormal"/>
        <w:spacing w:before="200"/>
        <w:ind w:firstLine="540"/>
        <w:jc w:val="both"/>
      </w:pPr>
      <w:r>
        <w:t>1.5. Бенефициар - лицо, в пользу которого выдана муниципальная гарантия.</w:t>
      </w:r>
    </w:p>
    <w:p w:rsidR="00372BF4" w:rsidRDefault="00372BF4">
      <w:pPr>
        <w:pStyle w:val="ConsPlusNormal"/>
        <w:spacing w:before="200"/>
        <w:ind w:firstLine="540"/>
        <w:jc w:val="both"/>
      </w:pPr>
      <w:r>
        <w:t>1.6. Регрессное требование - требование гаранта, исполнившего обязательство за принципала перед бенефициаром, к принципалу о возмещении уплаченной суммы.</w:t>
      </w:r>
    </w:p>
    <w:p w:rsidR="00372BF4" w:rsidRDefault="00372BF4">
      <w:pPr>
        <w:pStyle w:val="ConsPlusNormal"/>
        <w:spacing w:before="200"/>
        <w:ind w:firstLine="540"/>
        <w:jc w:val="both"/>
      </w:pPr>
      <w:r>
        <w:t xml:space="preserve">1.7. Иные понятия и термины, используемые в настоящем Порядке, применяются в значениях, установленных Бюджетным </w:t>
      </w:r>
      <w:hyperlink r:id="rId9">
        <w:r>
          <w:rPr>
            <w:color w:val="0000FF"/>
          </w:rPr>
          <w:t>кодексом</w:t>
        </w:r>
      </w:hyperlink>
      <w:r>
        <w:t xml:space="preserve"> Российской Федерации, Гражданским </w:t>
      </w:r>
      <w:hyperlink r:id="rId10">
        <w:r>
          <w:rPr>
            <w:color w:val="0000FF"/>
          </w:rPr>
          <w:t>кодексом</w:t>
        </w:r>
      </w:hyperlink>
      <w:r>
        <w:t xml:space="preserve"> Российской Федерации.</w:t>
      </w:r>
    </w:p>
    <w:p w:rsidR="00372BF4" w:rsidRDefault="00372BF4">
      <w:pPr>
        <w:pStyle w:val="ConsPlusNormal"/>
        <w:ind w:firstLine="540"/>
        <w:jc w:val="both"/>
      </w:pPr>
    </w:p>
    <w:p w:rsidR="00372BF4" w:rsidRDefault="00372BF4">
      <w:pPr>
        <w:pStyle w:val="ConsPlusTitle"/>
        <w:jc w:val="center"/>
        <w:outlineLvl w:val="1"/>
      </w:pPr>
      <w:r>
        <w:t>2. Общие положения о муниципальных гарантиях</w:t>
      </w:r>
    </w:p>
    <w:p w:rsidR="00372BF4" w:rsidRDefault="00372BF4">
      <w:pPr>
        <w:pStyle w:val="ConsPlusNormal"/>
        <w:ind w:firstLine="540"/>
        <w:jc w:val="both"/>
      </w:pPr>
    </w:p>
    <w:p w:rsidR="00372BF4" w:rsidRDefault="00372BF4">
      <w:pPr>
        <w:pStyle w:val="ConsPlusNormal"/>
        <w:ind w:firstLine="540"/>
        <w:jc w:val="both"/>
      </w:pPr>
      <w:bookmarkStart w:id="2" w:name="P48"/>
      <w:bookmarkEnd w:id="2"/>
      <w:r>
        <w:t xml:space="preserve">2.1. Муниципальные гарантии могут быть предоставлены юридическому лицу, реализующему инвестиционный проект в муниципальном образовании, определяемому на конкурсной основе и соответствующему требованиям, установленным настоящим Порядком, за исключением юридических лиц, указанных в </w:t>
      </w:r>
      <w:hyperlink w:anchor="P53">
        <w:r>
          <w:rPr>
            <w:color w:val="0000FF"/>
          </w:rPr>
          <w:t>пункте 2.4 раздела 2</w:t>
        </w:r>
      </w:hyperlink>
      <w:r>
        <w:t xml:space="preserve"> настоящего Порядка (далее - юридическое лицо).</w:t>
      </w:r>
    </w:p>
    <w:p w:rsidR="00372BF4" w:rsidRDefault="00372BF4">
      <w:pPr>
        <w:pStyle w:val="ConsPlusNormal"/>
        <w:spacing w:before="200"/>
        <w:ind w:firstLine="540"/>
        <w:jc w:val="both"/>
      </w:pPr>
      <w:r>
        <w:t>Муниципальные гарантии предоставляются в целях реализации инвестиционных проектов исходя из приоритетов социально-экономического развития муниципального образования (далее - инвестиционные проекты).</w:t>
      </w:r>
    </w:p>
    <w:p w:rsidR="00372BF4" w:rsidRDefault="00372BF4">
      <w:pPr>
        <w:pStyle w:val="ConsPlusNormal"/>
        <w:spacing w:before="200"/>
        <w:ind w:firstLine="540"/>
        <w:jc w:val="both"/>
      </w:pPr>
      <w:r>
        <w:t xml:space="preserve">2.2. Муниципальная гарантия оформляется в письменном виде в форме отдельного документа в соответствии с требованиями Бюджетного </w:t>
      </w:r>
      <w:hyperlink r:id="rId11">
        <w:r>
          <w:rPr>
            <w:color w:val="0000FF"/>
          </w:rPr>
          <w:t>кодекса</w:t>
        </w:r>
      </w:hyperlink>
      <w:r>
        <w:t xml:space="preserve"> Российской Федерации.</w:t>
      </w:r>
    </w:p>
    <w:p w:rsidR="00372BF4" w:rsidRDefault="00372BF4">
      <w:pPr>
        <w:pStyle w:val="ConsPlusNormal"/>
        <w:spacing w:before="200"/>
        <w:ind w:firstLine="540"/>
        <w:jc w:val="both"/>
      </w:pPr>
      <w:r>
        <w:t>2.3.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372BF4" w:rsidRDefault="00372BF4">
      <w:pPr>
        <w:pStyle w:val="ConsPlusNormal"/>
        <w:spacing w:before="200"/>
        <w:ind w:firstLine="540"/>
        <w:jc w:val="both"/>
      </w:pPr>
      <w:r>
        <w:lastRenderedPageBreak/>
        <w:t>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372BF4" w:rsidRDefault="00372BF4">
      <w:pPr>
        <w:pStyle w:val="ConsPlusNormal"/>
        <w:spacing w:before="200"/>
        <w:ind w:firstLine="540"/>
        <w:jc w:val="both"/>
      </w:pPr>
      <w:bookmarkStart w:id="3" w:name="P53"/>
      <w:bookmarkEnd w:id="3"/>
      <w:r>
        <w:t>2.4.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обязательств хозяйственных обществ, 100 процентов акций (долей) которых принадлежит муниципальному образованию,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предоставляющего муниципальные гарантии по обязательствам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372BF4" w:rsidRDefault="00372BF4">
      <w:pPr>
        <w:pStyle w:val="ConsPlusNormal"/>
        <w:jc w:val="both"/>
      </w:pPr>
      <w:r>
        <w:t xml:space="preserve">(в ред. </w:t>
      </w:r>
      <w:hyperlink r:id="rId12">
        <w:r>
          <w:rPr>
            <w:color w:val="0000FF"/>
          </w:rPr>
          <w:t>решения</w:t>
        </w:r>
      </w:hyperlink>
      <w:r>
        <w:t xml:space="preserve"> Думы города Когалыма от 17.06.2020 N 419-ГД)</w:t>
      </w:r>
    </w:p>
    <w:p w:rsidR="00372BF4" w:rsidRDefault="00372BF4">
      <w:pPr>
        <w:pStyle w:val="ConsPlusNormal"/>
        <w:spacing w:before="200"/>
        <w:ind w:firstLine="540"/>
        <w:jc w:val="both"/>
      </w:pPr>
      <w:r>
        <w:t>2.5. Муниципальное образование вправе предоставлять концессионеру муниципальные гарантии в соответствии с бюджетным законодательством Российской Федерации.</w:t>
      </w:r>
    </w:p>
    <w:p w:rsidR="00372BF4" w:rsidRDefault="00372BF4">
      <w:pPr>
        <w:pStyle w:val="ConsPlusNormal"/>
        <w:spacing w:before="200"/>
        <w:ind w:firstLine="540"/>
        <w:jc w:val="both"/>
      </w:pPr>
      <w:r>
        <w:t>Размер, порядок и условия предоставления муниципальных гарантий юридическим лицам, реализующим инвестиционные проекты в рамках федерального законодательства о концессионных соглашениях, должны быть указаны в решении о заключении концессионного соглашения, в конкурсной документации, в концессионном соглашении и договоре о предоставлении муниципальной гарантии, являющимся приложением к концессионному соглашению.</w:t>
      </w:r>
    </w:p>
    <w:p w:rsidR="00372BF4" w:rsidRDefault="00372BF4">
      <w:pPr>
        <w:pStyle w:val="ConsPlusNormal"/>
        <w:spacing w:before="200"/>
        <w:ind w:firstLine="540"/>
        <w:jc w:val="both"/>
      </w:pPr>
      <w:bookmarkStart w:id="4" w:name="P57"/>
      <w:bookmarkEnd w:id="4"/>
      <w:r>
        <w:t>2.6. Муниципальные гарантии предоставляются на конкурсной основе.</w:t>
      </w:r>
    </w:p>
    <w:p w:rsidR="00372BF4" w:rsidRDefault="00372BF4">
      <w:pPr>
        <w:pStyle w:val="ConsPlusNormal"/>
        <w:spacing w:before="200"/>
        <w:ind w:firstLine="540"/>
        <w:jc w:val="both"/>
      </w:pPr>
      <w:r>
        <w:t>Порядок конкурсного отбора юридических лиц и инвестиционных проектов, претендующих на право получения муниципальной гарантии (далее - конкурсный отбор), утверждается постановлением Администрации города.</w:t>
      </w:r>
    </w:p>
    <w:p w:rsidR="00372BF4" w:rsidRDefault="00372BF4">
      <w:pPr>
        <w:pStyle w:val="ConsPlusNormal"/>
        <w:spacing w:before="200"/>
        <w:ind w:firstLine="540"/>
        <w:jc w:val="both"/>
      </w:pPr>
      <w:r>
        <w:t>2.7. Муниципальные гарантии предоставляются по кредитам российских банков, имеющих генеральную лицензию Центрального банка Российской Федерации на осуществление банковских операций, по кредитам государственной корпорации развития "ВЭБ. РФ".</w:t>
      </w:r>
    </w:p>
    <w:p w:rsidR="00372BF4" w:rsidRDefault="00372BF4">
      <w:pPr>
        <w:pStyle w:val="ConsPlusNormal"/>
        <w:spacing w:before="200"/>
        <w:ind w:firstLine="540"/>
        <w:jc w:val="both"/>
      </w:pPr>
      <w:r>
        <w:t>Кредиты и займы (в том числе облигационные), обеспеченные муниципальными гарантиями, являются целевыми и направляются исключительно на осуществление (финансирование) инвестиционных проектов, отобранных в установленном порядке.</w:t>
      </w:r>
    </w:p>
    <w:p w:rsidR="00372BF4" w:rsidRDefault="00372BF4">
      <w:pPr>
        <w:pStyle w:val="ConsPlusNormal"/>
        <w:jc w:val="both"/>
      </w:pPr>
      <w:r>
        <w:t xml:space="preserve">(в ред. </w:t>
      </w:r>
      <w:hyperlink r:id="rId13">
        <w:r>
          <w:rPr>
            <w:color w:val="0000FF"/>
          </w:rPr>
          <w:t>решения</w:t>
        </w:r>
      </w:hyperlink>
      <w:r>
        <w:t xml:space="preserve"> Думы города Когалыма от 17.06.2020 N 419-ГД)</w:t>
      </w:r>
    </w:p>
    <w:p w:rsidR="00372BF4" w:rsidRDefault="00372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2B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BF4" w:rsidRDefault="00372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BF4" w:rsidRDefault="00372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BF4" w:rsidRDefault="00372BF4">
            <w:pPr>
              <w:pStyle w:val="ConsPlusNormal"/>
              <w:jc w:val="both"/>
            </w:pPr>
            <w:r>
              <w:rPr>
                <w:color w:val="392C69"/>
              </w:rPr>
              <w:t xml:space="preserve">Действие п. 2.8 разд. 2 приостановлено до 01.01.2021 </w:t>
            </w:r>
            <w:hyperlink r:id="rId14">
              <w:r>
                <w:rPr>
                  <w:color w:val="0000FF"/>
                </w:rPr>
                <w:t>решением</w:t>
              </w:r>
            </w:hyperlink>
            <w:r>
              <w:rPr>
                <w:color w:val="392C69"/>
              </w:rPr>
              <w:t xml:space="preserve"> Думы города Когалыма от 17.06.2020 N 419-ГД.</w:t>
            </w:r>
          </w:p>
        </w:tc>
        <w:tc>
          <w:tcPr>
            <w:tcW w:w="113" w:type="dxa"/>
            <w:tcBorders>
              <w:top w:val="nil"/>
              <w:left w:val="nil"/>
              <w:bottom w:val="nil"/>
              <w:right w:val="nil"/>
            </w:tcBorders>
            <w:shd w:val="clear" w:color="auto" w:fill="F4F3F8"/>
            <w:tcMar>
              <w:top w:w="0" w:type="dxa"/>
              <w:left w:w="0" w:type="dxa"/>
              <w:bottom w:w="0" w:type="dxa"/>
              <w:right w:w="0" w:type="dxa"/>
            </w:tcMar>
          </w:tcPr>
          <w:p w:rsidR="00372BF4" w:rsidRDefault="00372BF4">
            <w:pPr>
              <w:pStyle w:val="ConsPlusNormal"/>
            </w:pPr>
          </w:p>
        </w:tc>
      </w:tr>
    </w:tbl>
    <w:p w:rsidR="00372BF4" w:rsidRDefault="00372BF4">
      <w:pPr>
        <w:pStyle w:val="ConsPlusNormal"/>
        <w:spacing w:before="260"/>
        <w:ind w:firstLine="540"/>
        <w:jc w:val="both"/>
      </w:pPr>
      <w:r>
        <w:t>2.8. Программы муниципальных гарантий (при наличии муниципальных долговых обязательств) являются приложением к решению Думы города Когалыма (далее - Дума города) о бюджете города.</w:t>
      </w:r>
    </w:p>
    <w:p w:rsidR="00372BF4" w:rsidRDefault="00372BF4">
      <w:pPr>
        <w:pStyle w:val="ConsPlusNormal"/>
        <w:spacing w:before="200"/>
        <w:ind w:firstLine="540"/>
        <w:jc w:val="both"/>
      </w:pPr>
      <w:r>
        <w:t>2.9. Муниципальная гарантия предоставляется в валюте, в которой выражена сумма основного обязательства.</w:t>
      </w:r>
    </w:p>
    <w:p w:rsidR="00372BF4" w:rsidRDefault="00372BF4">
      <w:pPr>
        <w:pStyle w:val="ConsPlusNormal"/>
        <w:jc w:val="both"/>
      </w:pPr>
      <w:r>
        <w:t xml:space="preserve">(в ред. </w:t>
      </w:r>
      <w:hyperlink r:id="rId15">
        <w:r>
          <w:rPr>
            <w:color w:val="0000FF"/>
          </w:rPr>
          <w:t>решения</w:t>
        </w:r>
      </w:hyperlink>
      <w:r>
        <w:t xml:space="preserve"> Думы города Когалыма от 17.06.2020 N 419-ГД)</w:t>
      </w:r>
    </w:p>
    <w:p w:rsidR="00372BF4" w:rsidRDefault="00372BF4">
      <w:pPr>
        <w:pStyle w:val="ConsPlusNormal"/>
        <w:spacing w:before="200"/>
        <w:ind w:firstLine="540"/>
        <w:jc w:val="both"/>
      </w:pPr>
      <w:r>
        <w:t xml:space="preserve">2.10. Исполнение гарантом своих обязательств по муниципальной гарантии влечет право на предъявление регрессных требований, с учетом требований, установленных </w:t>
      </w:r>
      <w:hyperlink r:id="rId16">
        <w:r>
          <w:rPr>
            <w:color w:val="0000FF"/>
          </w:rPr>
          <w:t>пунктом 7 статьи 115</w:t>
        </w:r>
      </w:hyperlink>
      <w:r>
        <w:t xml:space="preserve"> Бюджетного кодекса Российской Федерации.</w:t>
      </w:r>
    </w:p>
    <w:p w:rsidR="00372BF4" w:rsidRDefault="00372BF4">
      <w:pPr>
        <w:pStyle w:val="ConsPlusNormal"/>
        <w:ind w:firstLine="540"/>
        <w:jc w:val="both"/>
      </w:pPr>
    </w:p>
    <w:p w:rsidR="00372BF4" w:rsidRDefault="00372BF4">
      <w:pPr>
        <w:pStyle w:val="ConsPlusTitle"/>
        <w:jc w:val="center"/>
        <w:outlineLvl w:val="1"/>
      </w:pPr>
      <w:r>
        <w:t>3. Порядок и условия предоставления муниципальных гарантий</w:t>
      </w:r>
    </w:p>
    <w:p w:rsidR="00372BF4" w:rsidRDefault="00372BF4">
      <w:pPr>
        <w:pStyle w:val="ConsPlusNormal"/>
        <w:jc w:val="center"/>
      </w:pPr>
    </w:p>
    <w:p w:rsidR="00372BF4" w:rsidRDefault="00372BF4">
      <w:pPr>
        <w:pStyle w:val="ConsPlusNormal"/>
        <w:ind w:firstLine="540"/>
        <w:jc w:val="both"/>
      </w:pPr>
      <w:r>
        <w:t xml:space="preserve">3.1. Конкурсный отбор в соответствии с </w:t>
      </w:r>
      <w:hyperlink w:anchor="P57">
        <w:r>
          <w:rPr>
            <w:color w:val="0000FF"/>
          </w:rPr>
          <w:t>пунктом 2.6 раздела 2</w:t>
        </w:r>
      </w:hyperlink>
      <w:r>
        <w:t xml:space="preserve"> настоящего Порядка, проводится по письменным обращениям заявителей на имя главы города Когалыма.</w:t>
      </w:r>
    </w:p>
    <w:p w:rsidR="00372BF4" w:rsidRDefault="00372BF4">
      <w:pPr>
        <w:pStyle w:val="ConsPlusNormal"/>
        <w:spacing w:before="200"/>
        <w:ind w:firstLine="540"/>
        <w:jc w:val="both"/>
      </w:pPr>
      <w:r>
        <w:t>К обращению прилагаются документы в соответствии с перечнем, установленным постановлением Администрации города.</w:t>
      </w:r>
    </w:p>
    <w:p w:rsidR="00372BF4" w:rsidRDefault="00372BF4">
      <w:pPr>
        <w:pStyle w:val="ConsPlusNormal"/>
        <w:spacing w:before="200"/>
        <w:ind w:firstLine="540"/>
        <w:jc w:val="both"/>
      </w:pPr>
      <w:r>
        <w:lastRenderedPageBreak/>
        <w:t>3.2. По результатам конкурсного отбора принимается одно из следующих решений:</w:t>
      </w:r>
    </w:p>
    <w:p w:rsidR="00372BF4" w:rsidRDefault="00372BF4">
      <w:pPr>
        <w:pStyle w:val="ConsPlusNormal"/>
        <w:spacing w:before="200"/>
        <w:ind w:firstLine="540"/>
        <w:jc w:val="both"/>
      </w:pPr>
      <w:r>
        <w:t>3.2.1. рекомендовать включить в проект решения Думы города о бюджете города (в проект решения Думы города о внесении изменений в бюджет города) средства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 и (или) в программу муниципальных гарантий в иностранной валюте;</w:t>
      </w:r>
    </w:p>
    <w:p w:rsidR="00372BF4" w:rsidRDefault="00372BF4">
      <w:pPr>
        <w:pStyle w:val="ConsPlusNormal"/>
        <w:spacing w:before="200"/>
        <w:ind w:firstLine="540"/>
        <w:jc w:val="both"/>
      </w:pPr>
      <w:r>
        <w:t>3.2.2. отклонить обращение заявителя с указанием основания (оснований) для отказа.</w:t>
      </w:r>
    </w:p>
    <w:p w:rsidR="00372BF4" w:rsidRDefault="00372BF4">
      <w:pPr>
        <w:pStyle w:val="ConsPlusNormal"/>
        <w:spacing w:before="200"/>
        <w:ind w:firstLine="540"/>
        <w:jc w:val="both"/>
      </w:pPr>
      <w:r>
        <w:t>3.3. Основаниями для отказа юридическому лицу в предоставлении муниципальной гарантии являются следующие обстоятельства:</w:t>
      </w:r>
    </w:p>
    <w:p w:rsidR="00372BF4" w:rsidRDefault="00372BF4">
      <w:pPr>
        <w:pStyle w:val="ConsPlusNormal"/>
        <w:spacing w:before="200"/>
        <w:ind w:firstLine="540"/>
        <w:jc w:val="both"/>
      </w:pPr>
      <w:r>
        <w:t xml:space="preserve">3.3.1. несоответствие юридического лица требованиям, установленным </w:t>
      </w:r>
      <w:hyperlink w:anchor="P48">
        <w:r>
          <w:rPr>
            <w:color w:val="0000FF"/>
          </w:rPr>
          <w:t>пунктом 2.1 раздела 2</w:t>
        </w:r>
      </w:hyperlink>
      <w:r>
        <w:t xml:space="preserve"> настоящего Порядка;</w:t>
      </w:r>
    </w:p>
    <w:p w:rsidR="00372BF4" w:rsidRDefault="00372BF4">
      <w:pPr>
        <w:pStyle w:val="ConsPlusNormal"/>
        <w:spacing w:before="200"/>
        <w:ind w:firstLine="540"/>
        <w:jc w:val="both"/>
      </w:pPr>
      <w:r>
        <w:t>3.3.2. отсутствие обеспечения исполнения обязательств юридического лица по регрессному требованию в размере, установленном постановлением Администрации города;</w:t>
      </w:r>
    </w:p>
    <w:p w:rsidR="00372BF4" w:rsidRDefault="00372BF4">
      <w:pPr>
        <w:pStyle w:val="ConsPlusNormal"/>
        <w:spacing w:before="200"/>
        <w:ind w:firstLine="540"/>
        <w:jc w:val="both"/>
      </w:pPr>
      <w:r>
        <w:t>3.3.3. представление неполного комплекта документов, перечень которых установлен постановлением Администрации города (далее - документы);</w:t>
      </w:r>
    </w:p>
    <w:p w:rsidR="00372BF4" w:rsidRDefault="00372BF4">
      <w:pPr>
        <w:pStyle w:val="ConsPlusNormal"/>
        <w:spacing w:before="200"/>
        <w:ind w:firstLine="540"/>
        <w:jc w:val="both"/>
      </w:pPr>
      <w:r>
        <w:t>3.3.4. недостоверная информация или внутренние несоответствия в представленных документах;</w:t>
      </w:r>
    </w:p>
    <w:p w:rsidR="00372BF4" w:rsidRDefault="00372BF4">
      <w:pPr>
        <w:pStyle w:val="ConsPlusNormal"/>
        <w:spacing w:before="200"/>
        <w:ind w:firstLine="540"/>
        <w:jc w:val="both"/>
      </w:pPr>
      <w:r>
        <w:t>3.3.5. решение конкурсной комиссии об отказе в предоставлении муниципальной гарантии, принятое в порядке, установленном постановлением Администрации города;</w:t>
      </w:r>
    </w:p>
    <w:p w:rsidR="00372BF4" w:rsidRDefault="00372BF4">
      <w:pPr>
        <w:pStyle w:val="ConsPlusNormal"/>
        <w:spacing w:before="200"/>
        <w:ind w:firstLine="540"/>
        <w:jc w:val="both"/>
      </w:pPr>
      <w:r>
        <w:t xml:space="preserve">3.3.6. несоответствие цели предоставления муниципальной гарантии целям, указанным в </w:t>
      </w:r>
      <w:hyperlink w:anchor="P48">
        <w:r>
          <w:rPr>
            <w:color w:val="0000FF"/>
          </w:rPr>
          <w:t>пункте 2.1 раздела 2</w:t>
        </w:r>
      </w:hyperlink>
      <w:r>
        <w:t xml:space="preserve"> настоящего Порядка.</w:t>
      </w:r>
    </w:p>
    <w:p w:rsidR="00372BF4" w:rsidRDefault="00372BF4">
      <w:pPr>
        <w:pStyle w:val="ConsPlusNormal"/>
        <w:spacing w:before="200"/>
        <w:ind w:firstLine="540"/>
        <w:jc w:val="both"/>
      </w:pPr>
      <w:r>
        <w:t>3.4. Предоставление муниципальной гарантии осуществляется Администрацией города на основании решения Думы города о бюджете города, распоряжения Администрации города, а также договора о предоставлении муниципальной гарантии.</w:t>
      </w:r>
    </w:p>
    <w:p w:rsidR="00372BF4" w:rsidRDefault="00372BF4">
      <w:pPr>
        <w:pStyle w:val="ConsPlusNormal"/>
        <w:spacing w:before="200"/>
        <w:ind w:firstLine="540"/>
        <w:jc w:val="both"/>
      </w:pPr>
      <w:r>
        <w:t xml:space="preserve">3.5. Анализ финансового состояния принципала, проверка достаточности, надежности и ликвидности обеспечения, предоставляемого в соответствии с </w:t>
      </w:r>
      <w:hyperlink r:id="rId17">
        <w:r>
          <w:rPr>
            <w:color w:val="0000FF"/>
          </w:rPr>
          <w:t>абзацем третьим пункта 1.1 статьи 115.2</w:t>
        </w:r>
      </w:hyperlink>
      <w: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Комитетом финансов Администрации города (далее - Комитет финансов) в соответствии с порядком, установленным постановлением Администрации города.</w:t>
      </w:r>
    </w:p>
    <w:p w:rsidR="00372BF4" w:rsidRDefault="00372BF4">
      <w:pPr>
        <w:pStyle w:val="ConsPlusNormal"/>
        <w:spacing w:before="200"/>
        <w:ind w:firstLine="540"/>
        <w:jc w:val="both"/>
      </w:pPr>
      <w:r>
        <w:t>3.6. Предоставление муниципальной гарантии осуществляется при соблюдении следующих условий:</w:t>
      </w:r>
    </w:p>
    <w:p w:rsidR="00372BF4" w:rsidRDefault="00372BF4">
      <w:pPr>
        <w:pStyle w:val="ConsPlusNormal"/>
        <w:spacing w:before="200"/>
        <w:ind w:firstLine="540"/>
        <w:jc w:val="both"/>
      </w:pPr>
      <w:r>
        <w:t>3.6.1. финансовое состояние принципала является удовлетворительным;</w:t>
      </w:r>
    </w:p>
    <w:p w:rsidR="00372BF4" w:rsidRDefault="00372BF4">
      <w:pPr>
        <w:pStyle w:val="ConsPlusNormal"/>
        <w:spacing w:before="200"/>
        <w:ind w:firstLine="540"/>
        <w:jc w:val="both"/>
      </w:pPr>
      <w:r>
        <w:t xml:space="preserve">3.6.2. предоставление принципалом, третьим лицом до даты выдачи муниципальной гарантии соответствующего требованиям </w:t>
      </w:r>
      <w:hyperlink r:id="rId18">
        <w:r>
          <w:rPr>
            <w:color w:val="0000FF"/>
          </w:rPr>
          <w:t>статьи 115.3</w:t>
        </w:r>
      </w:hyperlink>
      <w: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72BF4" w:rsidRDefault="00372BF4">
      <w:pPr>
        <w:pStyle w:val="ConsPlusNormal"/>
        <w:spacing w:before="200"/>
        <w:ind w:firstLine="540"/>
        <w:jc w:val="both"/>
      </w:pPr>
      <w:r>
        <w:t>3.6.3.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BF4" w:rsidRDefault="00372BF4">
      <w:pPr>
        <w:pStyle w:val="ConsPlusNormal"/>
        <w:spacing w:before="200"/>
        <w:ind w:firstLine="540"/>
        <w:jc w:val="both"/>
      </w:pPr>
      <w:r>
        <w:t>3.6.4.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72BF4" w:rsidRDefault="00372BF4">
      <w:pPr>
        <w:pStyle w:val="ConsPlusNormal"/>
        <w:spacing w:before="200"/>
        <w:ind w:firstLine="540"/>
        <w:jc w:val="both"/>
      </w:pPr>
      <w:r>
        <w:t>3.7. В распоряжении Администрации города о предоставлении муниципальной гарантии указываются:</w:t>
      </w:r>
    </w:p>
    <w:p w:rsidR="00372BF4" w:rsidRDefault="00372BF4">
      <w:pPr>
        <w:pStyle w:val="ConsPlusNormal"/>
        <w:spacing w:before="200"/>
        <w:ind w:firstLine="540"/>
        <w:jc w:val="both"/>
      </w:pPr>
      <w:r>
        <w:lastRenderedPageBreak/>
        <w:t>3.7.1. наименование гаранта;</w:t>
      </w:r>
    </w:p>
    <w:p w:rsidR="00372BF4" w:rsidRDefault="00372BF4">
      <w:pPr>
        <w:pStyle w:val="ConsPlusNormal"/>
        <w:spacing w:before="200"/>
        <w:ind w:firstLine="540"/>
        <w:jc w:val="both"/>
      </w:pPr>
      <w:r>
        <w:t>3.7.2. наименование принципала;</w:t>
      </w:r>
    </w:p>
    <w:p w:rsidR="00372BF4" w:rsidRDefault="00372BF4">
      <w:pPr>
        <w:pStyle w:val="ConsPlusNormal"/>
        <w:spacing w:before="200"/>
        <w:ind w:firstLine="540"/>
        <w:jc w:val="both"/>
      </w:pPr>
      <w:r>
        <w:t>3.7.3. наименование бенефициара;</w:t>
      </w:r>
    </w:p>
    <w:p w:rsidR="00372BF4" w:rsidRDefault="00372BF4">
      <w:pPr>
        <w:pStyle w:val="ConsPlusNormal"/>
        <w:spacing w:before="200"/>
        <w:ind w:firstLine="540"/>
        <w:jc w:val="both"/>
      </w:pPr>
      <w:r>
        <w:t>3.7.4.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372BF4" w:rsidRDefault="00372BF4">
      <w:pPr>
        <w:pStyle w:val="ConsPlusNormal"/>
        <w:spacing w:before="200"/>
        <w:ind w:firstLine="540"/>
        <w:jc w:val="both"/>
      </w:pPr>
      <w:r>
        <w:t>3.7.5. объем обязательств гаранта по гарантии и предельная сумма гарантии;</w:t>
      </w:r>
    </w:p>
    <w:p w:rsidR="00372BF4" w:rsidRDefault="00372BF4">
      <w:pPr>
        <w:pStyle w:val="ConsPlusNormal"/>
        <w:spacing w:before="200"/>
        <w:ind w:firstLine="540"/>
        <w:jc w:val="both"/>
      </w:pPr>
      <w:r>
        <w:t>3.7.6. основания выдачи гарантии;</w:t>
      </w:r>
    </w:p>
    <w:p w:rsidR="00372BF4" w:rsidRDefault="00372BF4">
      <w:pPr>
        <w:pStyle w:val="ConsPlusNormal"/>
        <w:spacing w:before="200"/>
        <w:ind w:firstLine="540"/>
        <w:jc w:val="both"/>
      </w:pPr>
      <w:r>
        <w:t>3.7.7. дата вступления в силу гарантии или событие (условие), с наступлением которого гарантия вступает в силу;</w:t>
      </w:r>
    </w:p>
    <w:p w:rsidR="00372BF4" w:rsidRDefault="00372BF4">
      <w:pPr>
        <w:pStyle w:val="ConsPlusNormal"/>
        <w:spacing w:before="200"/>
        <w:ind w:firstLine="540"/>
        <w:jc w:val="both"/>
      </w:pPr>
      <w:r>
        <w:t>3.7.8. срок действия гарантии;</w:t>
      </w:r>
    </w:p>
    <w:p w:rsidR="00372BF4" w:rsidRDefault="00372BF4">
      <w:pPr>
        <w:pStyle w:val="ConsPlusNormal"/>
        <w:spacing w:before="200"/>
        <w:ind w:firstLine="540"/>
        <w:jc w:val="both"/>
      </w:pPr>
      <w:r>
        <w:t>3.7.9. определение гарантийного случая, срок и порядок предъявления требования бенефициара об исполнении гарантии;</w:t>
      </w:r>
    </w:p>
    <w:p w:rsidR="00372BF4" w:rsidRDefault="00372BF4">
      <w:pPr>
        <w:pStyle w:val="ConsPlusNormal"/>
        <w:spacing w:before="200"/>
        <w:ind w:firstLine="540"/>
        <w:jc w:val="both"/>
      </w:pPr>
      <w:r>
        <w:t>3.7.10. основания отзыва гарантии;</w:t>
      </w:r>
    </w:p>
    <w:p w:rsidR="00372BF4" w:rsidRDefault="00372BF4">
      <w:pPr>
        <w:pStyle w:val="ConsPlusNormal"/>
        <w:spacing w:before="200"/>
        <w:ind w:firstLine="540"/>
        <w:jc w:val="both"/>
      </w:pPr>
      <w:r>
        <w:t>3.7.11. порядок исполнения гарантом обязательств по гарантии;</w:t>
      </w:r>
    </w:p>
    <w:p w:rsidR="00372BF4" w:rsidRDefault="00372BF4">
      <w:pPr>
        <w:pStyle w:val="ConsPlusNormal"/>
        <w:spacing w:before="200"/>
        <w:ind w:firstLine="540"/>
        <w:jc w:val="both"/>
      </w:pPr>
      <w:r>
        <w:t>3.7.12.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372BF4" w:rsidRDefault="00372BF4">
      <w:pPr>
        <w:pStyle w:val="ConsPlusNormal"/>
        <w:spacing w:before="200"/>
        <w:ind w:firstLine="540"/>
        <w:jc w:val="both"/>
      </w:pPr>
      <w:r>
        <w:t>3.7.13. основания прекращения гарантии;</w:t>
      </w:r>
    </w:p>
    <w:p w:rsidR="00372BF4" w:rsidRDefault="00372BF4">
      <w:pPr>
        <w:pStyle w:val="ConsPlusNormal"/>
        <w:spacing w:before="200"/>
        <w:ind w:firstLine="540"/>
        <w:jc w:val="both"/>
      </w:pPr>
      <w:r>
        <w:t>3.7.14. условия основного обязательства, которые не могут быть изменены без предварительного письменного согласия гаранта;</w:t>
      </w:r>
    </w:p>
    <w:p w:rsidR="00372BF4" w:rsidRDefault="00372BF4">
      <w:pPr>
        <w:pStyle w:val="ConsPlusNormal"/>
        <w:spacing w:before="200"/>
        <w:ind w:firstLine="540"/>
        <w:jc w:val="both"/>
      </w:pPr>
      <w:r>
        <w:t>3.7.15.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372BF4" w:rsidRDefault="00372BF4">
      <w:pPr>
        <w:pStyle w:val="ConsPlusNormal"/>
        <w:spacing w:before="200"/>
        <w:ind w:firstLine="540"/>
        <w:jc w:val="both"/>
      </w:pPr>
      <w:r>
        <w:t xml:space="preserve">3.7.16. иные условия гарантии, а также сведения, определенные Бюджетным </w:t>
      </w:r>
      <w:hyperlink r:id="rId19">
        <w:r>
          <w:rPr>
            <w:color w:val="0000FF"/>
          </w:rPr>
          <w:t>кодексом</w:t>
        </w:r>
      </w:hyperlink>
      <w:r>
        <w:t xml:space="preserve"> Российской Федерации, муниципальными правовыми актами Администрации города.</w:t>
      </w:r>
    </w:p>
    <w:p w:rsidR="00372BF4" w:rsidRDefault="00372BF4">
      <w:pPr>
        <w:pStyle w:val="ConsPlusNormal"/>
        <w:spacing w:before="200"/>
        <w:ind w:firstLine="540"/>
        <w:jc w:val="both"/>
      </w:pPr>
      <w:r>
        <w:t xml:space="preserve">3.8. На основании распоряжения Администрации города о предоставлении муниципальной гарантии с учетом требований Бюджетного </w:t>
      </w:r>
      <w:hyperlink r:id="rId20">
        <w:r>
          <w:rPr>
            <w:color w:val="0000FF"/>
          </w:rPr>
          <w:t>кодекса</w:t>
        </w:r>
      </w:hyperlink>
      <w:r>
        <w:t xml:space="preserve"> Российской Федерации и настоящего Порядка, заключаются договоры:</w:t>
      </w:r>
    </w:p>
    <w:p w:rsidR="00372BF4" w:rsidRDefault="00372BF4">
      <w:pPr>
        <w:pStyle w:val="ConsPlusNormal"/>
        <w:spacing w:before="200"/>
        <w:ind w:firstLine="540"/>
        <w:jc w:val="both"/>
      </w:pPr>
      <w:r>
        <w:t>3.8.1. о предоставлении муниципальной гарантии;</w:t>
      </w:r>
    </w:p>
    <w:p w:rsidR="00372BF4" w:rsidRDefault="00372BF4">
      <w:pPr>
        <w:pStyle w:val="ConsPlusNormal"/>
        <w:spacing w:before="200"/>
        <w:ind w:firstLine="540"/>
        <w:jc w:val="both"/>
      </w:pPr>
      <w:r>
        <w:t>3.8.2. об обеспечении принципалом его возможных будущих обязательств по возмещению гаранту в порядке регресса сумм, уплаченных муниципальным образованием во исполнение (частичное исполнение) обязательств по гарантии;</w:t>
      </w:r>
    </w:p>
    <w:p w:rsidR="00372BF4" w:rsidRDefault="00372BF4">
      <w:pPr>
        <w:pStyle w:val="ConsPlusNormal"/>
        <w:spacing w:before="200"/>
        <w:ind w:firstLine="540"/>
        <w:jc w:val="both"/>
      </w:pPr>
      <w:r>
        <w:t>3.8.3. иные договоры в соответствии с распоряжением Администрации города.</w:t>
      </w:r>
    </w:p>
    <w:p w:rsidR="00372BF4" w:rsidRDefault="00372BF4">
      <w:pPr>
        <w:pStyle w:val="ConsPlusNormal"/>
        <w:spacing w:before="200"/>
        <w:ind w:firstLine="540"/>
        <w:jc w:val="both"/>
      </w:pPr>
      <w:r>
        <w:t xml:space="preserve">3.9. В договоре о предоставлении муниципальной гарантии должны быть соблюдены условия гарантии, установленные Бюджетным </w:t>
      </w:r>
      <w:hyperlink r:id="rId21">
        <w:r>
          <w:rPr>
            <w:color w:val="0000FF"/>
          </w:rPr>
          <w:t>кодексом</w:t>
        </w:r>
      </w:hyperlink>
      <w:r>
        <w:t xml:space="preserve"> Российской Федерации и настоящим Порядком.</w:t>
      </w:r>
    </w:p>
    <w:p w:rsidR="00372BF4" w:rsidRDefault="00372BF4">
      <w:pPr>
        <w:pStyle w:val="ConsPlusNormal"/>
        <w:ind w:firstLine="540"/>
        <w:jc w:val="both"/>
      </w:pPr>
    </w:p>
    <w:p w:rsidR="00372BF4" w:rsidRDefault="00372BF4">
      <w:pPr>
        <w:pStyle w:val="ConsPlusTitle"/>
        <w:jc w:val="center"/>
        <w:outlineLvl w:val="1"/>
      </w:pPr>
      <w:r>
        <w:t>4. Обеспечение исполнения обязательств принципала</w:t>
      </w:r>
    </w:p>
    <w:p w:rsidR="00372BF4" w:rsidRDefault="00372BF4">
      <w:pPr>
        <w:pStyle w:val="ConsPlusTitle"/>
        <w:jc w:val="center"/>
      </w:pPr>
      <w:r>
        <w:t>по регрессному требованию</w:t>
      </w:r>
    </w:p>
    <w:p w:rsidR="00372BF4" w:rsidRDefault="00372BF4">
      <w:pPr>
        <w:pStyle w:val="ConsPlusNormal"/>
        <w:jc w:val="center"/>
      </w:pPr>
    </w:p>
    <w:p w:rsidR="00372BF4" w:rsidRDefault="00372BF4">
      <w:pPr>
        <w:pStyle w:val="ConsPlusNormal"/>
        <w:ind w:firstLine="540"/>
        <w:jc w:val="both"/>
      </w:pPr>
      <w:r>
        <w:t xml:space="preserve">4.1.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r:id="rId22">
        <w:r>
          <w:rPr>
            <w:color w:val="0000FF"/>
          </w:rPr>
          <w:t>абзацами третьим</w:t>
        </w:r>
      </w:hyperlink>
      <w:r>
        <w:t xml:space="preserve"> - </w:t>
      </w:r>
      <w:hyperlink r:id="rId23">
        <w:r>
          <w:rPr>
            <w:color w:val="0000FF"/>
          </w:rPr>
          <w:t xml:space="preserve">шестым пункта 3 статьи </w:t>
        </w:r>
        <w:r>
          <w:rPr>
            <w:color w:val="0000FF"/>
          </w:rPr>
          <w:lastRenderedPageBreak/>
          <w:t>93.2</w:t>
        </w:r>
      </w:hyperlink>
      <w:r>
        <w:t xml:space="preserve"> Бюджетного кодекса Российской Федерации.</w:t>
      </w:r>
    </w:p>
    <w:p w:rsidR="00372BF4" w:rsidRDefault="00372BF4">
      <w:pPr>
        <w:pStyle w:val="ConsPlusNormal"/>
        <w:jc w:val="both"/>
      </w:pPr>
      <w:r>
        <w:t xml:space="preserve">(в ред. </w:t>
      </w:r>
      <w:hyperlink r:id="rId24">
        <w:r>
          <w:rPr>
            <w:color w:val="0000FF"/>
          </w:rPr>
          <w:t>решения</w:t>
        </w:r>
      </w:hyperlink>
      <w:r>
        <w:t xml:space="preserve"> Думы города Когалыма от 17.06.2020 N 419-ГД)</w:t>
      </w:r>
    </w:p>
    <w:p w:rsidR="00372BF4" w:rsidRDefault="00372BF4">
      <w:pPr>
        <w:pStyle w:val="ConsPlusNormal"/>
        <w:spacing w:before="200"/>
        <w:ind w:firstLine="540"/>
        <w:jc w:val="both"/>
      </w:pPr>
      <w:r>
        <w:t>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372BF4" w:rsidRDefault="00372BF4">
      <w:pPr>
        <w:pStyle w:val="ConsPlusNormal"/>
        <w:jc w:val="both"/>
      </w:pPr>
      <w:r>
        <w:t xml:space="preserve">(в ред. </w:t>
      </w:r>
      <w:hyperlink r:id="rId25">
        <w:r>
          <w:rPr>
            <w:color w:val="0000FF"/>
          </w:rPr>
          <w:t>решения</w:t>
        </w:r>
      </w:hyperlink>
      <w:r>
        <w:t xml:space="preserve"> Думы города Когалыма от 17.06.2020 N 419-ГД)</w:t>
      </w:r>
    </w:p>
    <w:p w:rsidR="00372BF4" w:rsidRDefault="00372BF4">
      <w:pPr>
        <w:pStyle w:val="ConsPlusNormal"/>
        <w:spacing w:before="200"/>
        <w:ind w:firstLine="540"/>
        <w:jc w:val="both"/>
      </w:pPr>
      <w:r>
        <w:t>Способами обеспечения исполнения обязательств принципала по удовлетворению регрессного требования могут быть:</w:t>
      </w:r>
    </w:p>
    <w:p w:rsidR="00372BF4" w:rsidRDefault="00372BF4">
      <w:pPr>
        <w:pStyle w:val="ConsPlusNormal"/>
        <w:spacing w:before="200"/>
        <w:ind w:firstLine="540"/>
        <w:jc w:val="both"/>
      </w:pPr>
      <w:r>
        <w:t>- банковские гарантии;</w:t>
      </w:r>
    </w:p>
    <w:p w:rsidR="00372BF4" w:rsidRDefault="00372BF4">
      <w:pPr>
        <w:pStyle w:val="ConsPlusNormal"/>
        <w:spacing w:before="200"/>
        <w:ind w:firstLine="540"/>
        <w:jc w:val="both"/>
      </w:pPr>
      <w:r>
        <w:t>- поручительства юридических лиц;</w:t>
      </w:r>
    </w:p>
    <w:p w:rsidR="00372BF4" w:rsidRDefault="00372BF4">
      <w:pPr>
        <w:pStyle w:val="ConsPlusNormal"/>
        <w:spacing w:before="200"/>
        <w:ind w:firstLine="540"/>
        <w:jc w:val="both"/>
      </w:pPr>
      <w:r>
        <w:t>- залог имущества.</w:t>
      </w:r>
    </w:p>
    <w:p w:rsidR="00372BF4" w:rsidRDefault="00372BF4">
      <w:pPr>
        <w:pStyle w:val="ConsPlusNormal"/>
        <w:spacing w:before="200"/>
        <w:ind w:firstLine="540"/>
        <w:jc w:val="both"/>
      </w:pPr>
      <w:r>
        <w:t>4.2. Предметом договора залога не может являться имущество, которое:</w:t>
      </w:r>
    </w:p>
    <w:p w:rsidR="00372BF4" w:rsidRDefault="00372BF4">
      <w:pPr>
        <w:pStyle w:val="ConsPlusNormal"/>
        <w:spacing w:before="200"/>
        <w:ind w:firstLine="540"/>
        <w:jc w:val="both"/>
      </w:pPr>
      <w:r>
        <w:t>4.2.1. находится в собственности муниципального образования;</w:t>
      </w:r>
    </w:p>
    <w:p w:rsidR="00372BF4" w:rsidRDefault="00372BF4">
      <w:pPr>
        <w:pStyle w:val="ConsPlusNormal"/>
        <w:spacing w:before="200"/>
        <w:ind w:firstLine="540"/>
        <w:jc w:val="both"/>
      </w:pPr>
      <w:r>
        <w:t>4.2.2. в соответствии с законодательством Российской Федерации не может являться предметом залога;</w:t>
      </w:r>
    </w:p>
    <w:p w:rsidR="00372BF4" w:rsidRDefault="00372BF4">
      <w:pPr>
        <w:pStyle w:val="ConsPlusNormal"/>
        <w:spacing w:before="200"/>
        <w:ind w:firstLine="540"/>
        <w:jc w:val="both"/>
      </w:pPr>
      <w:r>
        <w:t>4.2.3. обременено какими-либо обязательствами и правами третьих лиц;</w:t>
      </w:r>
    </w:p>
    <w:p w:rsidR="00372BF4" w:rsidRDefault="00372BF4">
      <w:pPr>
        <w:pStyle w:val="ConsPlusNormal"/>
        <w:spacing w:before="200"/>
        <w:ind w:firstLine="540"/>
        <w:jc w:val="both"/>
      </w:pPr>
      <w:r>
        <w:t>4.2.4. залогодатель приобретет в будущем.</w:t>
      </w:r>
    </w:p>
    <w:p w:rsidR="00372BF4" w:rsidRDefault="00372BF4">
      <w:pPr>
        <w:pStyle w:val="ConsPlusNormal"/>
        <w:spacing w:before="200"/>
        <w:ind w:firstLine="540"/>
        <w:jc w:val="both"/>
      </w:pPr>
      <w:r>
        <w:t>4.3. Передаваемое в залог имущество должно быть застраховано принципалом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принципала.</w:t>
      </w:r>
    </w:p>
    <w:p w:rsidR="00372BF4" w:rsidRDefault="00372BF4">
      <w:pPr>
        <w:pStyle w:val="ConsPlusNormal"/>
        <w:spacing w:before="200"/>
        <w:ind w:firstLine="540"/>
        <w:jc w:val="both"/>
      </w:pPr>
      <w:r>
        <w:t>В случае предоставления залога имущества, в качестве обеспечения, расходы, связанные с оформлением залога и оценкой передаваемого в залог имущества, несет принципал. Заключение оценщика должно содержать информацию о ликвидности указанного имущества.</w:t>
      </w:r>
    </w:p>
    <w:p w:rsidR="00372BF4" w:rsidRDefault="00372BF4">
      <w:pPr>
        <w:pStyle w:val="ConsPlusNormal"/>
        <w:spacing w:before="200"/>
        <w:ind w:firstLine="540"/>
        <w:jc w:val="both"/>
      </w:pPr>
      <w:r>
        <w:t>Передаваемое в залог имущество должно иметь высокую степень ликвидности, подтверждаемую комитетом по управлению муниципальным имуществом Администрации города (далее - Комитет по управлению имуществом).</w:t>
      </w:r>
    </w:p>
    <w:p w:rsidR="00372BF4" w:rsidRDefault="00372BF4">
      <w:pPr>
        <w:pStyle w:val="ConsPlusNormal"/>
        <w:spacing w:before="200"/>
        <w:ind w:firstLine="540"/>
        <w:jc w:val="both"/>
      </w:pPr>
      <w: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w:t>
      </w:r>
    </w:p>
    <w:p w:rsidR="00372BF4" w:rsidRDefault="00372BF4">
      <w:pPr>
        <w:pStyle w:val="ConsPlusNormal"/>
        <w:spacing w:before="200"/>
        <w:ind w:firstLine="540"/>
        <w:jc w:val="both"/>
      </w:pPr>
      <w:r>
        <w:t>Договор залога имущества заключается в соответствии с гражданским законодательством одновременно с договором о предоставлении муниципальной гарантии.</w:t>
      </w:r>
    </w:p>
    <w:p w:rsidR="00372BF4" w:rsidRDefault="00372BF4">
      <w:pPr>
        <w:pStyle w:val="ConsPlusNormal"/>
        <w:spacing w:before="200"/>
        <w:ind w:firstLine="540"/>
        <w:jc w:val="both"/>
      </w:pPr>
      <w:r>
        <w:t>4.4. Порядок определения при предоставлении муниципальной гарантии минимального объема (суммы) обеспечения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постановлением Администрации города.</w:t>
      </w:r>
    </w:p>
    <w:p w:rsidR="00372BF4" w:rsidRDefault="00372BF4">
      <w:pPr>
        <w:pStyle w:val="ConsPlusNormal"/>
        <w:jc w:val="both"/>
      </w:pPr>
      <w:r>
        <w:t xml:space="preserve">(в ред. </w:t>
      </w:r>
      <w:hyperlink r:id="rId26">
        <w:r>
          <w:rPr>
            <w:color w:val="0000FF"/>
          </w:rPr>
          <w:t>решения</w:t>
        </w:r>
      </w:hyperlink>
      <w:r>
        <w:t xml:space="preserve"> Думы города Когалыма от 17.06.2020 N 419-ГД)</w:t>
      </w:r>
    </w:p>
    <w:p w:rsidR="00372BF4" w:rsidRDefault="00372BF4">
      <w:pPr>
        <w:pStyle w:val="ConsPlusNormal"/>
        <w:spacing w:before="200"/>
        <w:ind w:firstLine="540"/>
        <w:jc w:val="both"/>
      </w:pPr>
      <w:bookmarkStart w:id="5" w:name="P135"/>
      <w:bookmarkEnd w:id="5"/>
      <w:r>
        <w:t xml:space="preserve">4.5.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27">
        <w:r>
          <w:rPr>
            <w:color w:val="0000FF"/>
          </w:rPr>
          <w:t>кодексом</w:t>
        </w:r>
      </w:hyperlink>
      <w:r>
        <w:t xml:space="preserve"> Российской Федерации, гражданским законодательством Российской Федерации и настоящим Порядком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постановлением Администрации города,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372BF4" w:rsidRDefault="00372BF4">
      <w:pPr>
        <w:pStyle w:val="ConsPlusNormal"/>
        <w:spacing w:before="200"/>
        <w:ind w:firstLine="540"/>
        <w:jc w:val="both"/>
      </w:pPr>
      <w:r>
        <w:lastRenderedPageBreak/>
        <w:t>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372BF4" w:rsidRDefault="00372BF4">
      <w:pPr>
        <w:pStyle w:val="ConsPlusNormal"/>
        <w:jc w:val="both"/>
      </w:pPr>
      <w:r>
        <w:t xml:space="preserve">(п. 4.5 введен </w:t>
      </w:r>
      <w:hyperlink r:id="rId28">
        <w:r>
          <w:rPr>
            <w:color w:val="0000FF"/>
          </w:rPr>
          <w:t>решением</w:t>
        </w:r>
      </w:hyperlink>
      <w:r>
        <w:t xml:space="preserve"> Думы города Когалыма от 17.06.2020 N 419-ГД)</w:t>
      </w:r>
    </w:p>
    <w:p w:rsidR="00372BF4" w:rsidRDefault="00372BF4">
      <w:pPr>
        <w:pStyle w:val="ConsPlusNormal"/>
        <w:spacing w:before="200"/>
        <w:ind w:firstLine="540"/>
        <w:jc w:val="both"/>
      </w:pPr>
      <w:r>
        <w:t xml:space="preserve">4.6. Неисполнение принципалом установленной </w:t>
      </w:r>
      <w:hyperlink w:anchor="P135">
        <w:r>
          <w:rPr>
            <w:color w:val="0000FF"/>
          </w:rPr>
          <w:t>пунктом 4.5</w:t>
        </w:r>
      </w:hyperlink>
      <w:r>
        <w:t xml:space="preserve"> настоящего Порядка обязанности приравнивается к неисполнению денежных обязательств перед гарантом. К принципалу, не исполнившему указанную обязанность, применяются положения, предусмотренные </w:t>
      </w:r>
      <w:hyperlink r:id="rId29">
        <w:r>
          <w:rPr>
            <w:color w:val="0000FF"/>
          </w:rPr>
          <w:t>абзацем вторым пункта 1 статьи 93.2</w:t>
        </w:r>
      </w:hyperlink>
      <w:r>
        <w:t xml:space="preserve">, </w:t>
      </w:r>
      <w:hyperlink r:id="rId30">
        <w:r>
          <w:rPr>
            <w:color w:val="0000FF"/>
          </w:rPr>
          <w:t>абзацем четвертым пункта 1.1 статьи 115.2</w:t>
        </w:r>
      </w:hyperlink>
      <w:r>
        <w:t xml:space="preserve">, </w:t>
      </w:r>
      <w:hyperlink r:id="rId31">
        <w:r>
          <w:rPr>
            <w:color w:val="0000FF"/>
          </w:rPr>
          <w:t>пунктом 17 статьи 241</w:t>
        </w:r>
      </w:hyperlink>
      <w:r>
        <w:t xml:space="preserve"> Бюджетного кодекса Российской Федерации для лиц, имеющих просроченную (неурегулированную) задолженность по денежным обязательствам перед гарантом.</w:t>
      </w:r>
    </w:p>
    <w:p w:rsidR="00372BF4" w:rsidRDefault="00372BF4">
      <w:pPr>
        <w:pStyle w:val="ConsPlusNormal"/>
        <w:jc w:val="both"/>
      </w:pPr>
      <w:r>
        <w:t xml:space="preserve">(п. 4.6 введен </w:t>
      </w:r>
      <w:hyperlink r:id="rId32">
        <w:r>
          <w:rPr>
            <w:color w:val="0000FF"/>
          </w:rPr>
          <w:t>решением</w:t>
        </w:r>
      </w:hyperlink>
      <w:r>
        <w:t xml:space="preserve"> Думы города Когалыма от 17.06.2020 N 419-ГД)</w:t>
      </w:r>
    </w:p>
    <w:p w:rsidR="00372BF4" w:rsidRDefault="00372BF4">
      <w:pPr>
        <w:pStyle w:val="ConsPlusNormal"/>
        <w:spacing w:before="200"/>
        <w:ind w:firstLine="540"/>
        <w:jc w:val="both"/>
      </w:pPr>
      <w:hyperlink r:id="rId33">
        <w:r>
          <w:rPr>
            <w:color w:val="0000FF"/>
          </w:rPr>
          <w:t>4.7</w:t>
        </w:r>
      </w:hyperlink>
      <w:r>
        <w:t>. Оценка надежности банковской гарантии, поручительства осуществляется в соответствии с порядком, установленным постановлением Администрации города.</w:t>
      </w:r>
    </w:p>
    <w:p w:rsidR="00372BF4" w:rsidRDefault="00372BF4">
      <w:pPr>
        <w:pStyle w:val="ConsPlusNormal"/>
        <w:ind w:firstLine="540"/>
        <w:jc w:val="both"/>
      </w:pPr>
    </w:p>
    <w:p w:rsidR="00372BF4" w:rsidRDefault="00372BF4">
      <w:pPr>
        <w:pStyle w:val="ConsPlusTitle"/>
        <w:jc w:val="center"/>
        <w:outlineLvl w:val="1"/>
      </w:pPr>
      <w:r>
        <w:t>5. Ответственность по предоставленным муниципальным</w:t>
      </w:r>
    </w:p>
    <w:p w:rsidR="00372BF4" w:rsidRDefault="00372BF4">
      <w:pPr>
        <w:pStyle w:val="ConsPlusTitle"/>
        <w:jc w:val="center"/>
      </w:pPr>
      <w:r>
        <w:t>гарантиям</w:t>
      </w:r>
    </w:p>
    <w:p w:rsidR="00372BF4" w:rsidRDefault="00372BF4">
      <w:pPr>
        <w:pStyle w:val="ConsPlusNormal"/>
        <w:jc w:val="center"/>
      </w:pPr>
    </w:p>
    <w:p w:rsidR="00372BF4" w:rsidRDefault="00372BF4">
      <w:pPr>
        <w:pStyle w:val="ConsPlusNormal"/>
        <w:ind w:firstLine="540"/>
        <w:jc w:val="both"/>
      </w:pPr>
      <w:r>
        <w:t>5.1. По предоставленным муниципальным гарантиям гарант несет субсидиарную ответственность по обеспеченному им обязательству принципала в пределах суммы гарантии.</w:t>
      </w:r>
    </w:p>
    <w:p w:rsidR="00372BF4" w:rsidRDefault="00372BF4">
      <w:pPr>
        <w:pStyle w:val="ConsPlusNormal"/>
        <w:spacing w:before="200"/>
        <w:ind w:firstLine="540"/>
        <w:jc w:val="both"/>
      </w:pPr>
      <w:r>
        <w:t>5.2. 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
    <w:p w:rsidR="00372BF4" w:rsidRDefault="00372BF4">
      <w:pPr>
        <w:pStyle w:val="ConsPlusNormal"/>
        <w:spacing w:before="200"/>
        <w:ind w:firstLine="540"/>
        <w:jc w:val="both"/>
      </w:pPr>
      <w:r>
        <w:t>5.3. Порядок предъявления, рассмотрения и исполнения требований бенефициара к гаранту об уплате денежной суммы по гарантии, признания требования необоснованным, основания для отказа в удовлетворении гарантом требований бенефициара и прекращения обязательств по гарантии, а также условия отзыва гарантии и иные вопросы взаимоотношений между гарантом, бенефициаром и принципалом, не урегулированные настоящим Порядком, устанавливаются договором о предоставлении муниципальной гарантии в соответствии с действующим законодательством Российской Федерации.</w:t>
      </w:r>
    </w:p>
    <w:p w:rsidR="00372BF4" w:rsidRDefault="00372BF4">
      <w:pPr>
        <w:pStyle w:val="ConsPlusNormal"/>
        <w:jc w:val="center"/>
      </w:pPr>
    </w:p>
    <w:p w:rsidR="00372BF4" w:rsidRDefault="00372BF4">
      <w:pPr>
        <w:pStyle w:val="ConsPlusTitle"/>
        <w:jc w:val="center"/>
        <w:outlineLvl w:val="1"/>
      </w:pPr>
      <w:r>
        <w:t>6. Учет муниципальных гарантий</w:t>
      </w:r>
    </w:p>
    <w:p w:rsidR="00372BF4" w:rsidRDefault="00372BF4">
      <w:pPr>
        <w:pStyle w:val="ConsPlusNormal"/>
        <w:jc w:val="center"/>
      </w:pPr>
    </w:p>
    <w:p w:rsidR="00372BF4" w:rsidRDefault="00372BF4">
      <w:pPr>
        <w:pStyle w:val="ConsPlusNormal"/>
        <w:ind w:firstLine="540"/>
        <w:jc w:val="both"/>
      </w:pPr>
      <w:r>
        <w:t>6.1. Комитет финансов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372BF4" w:rsidRDefault="00372BF4">
      <w:pPr>
        <w:pStyle w:val="ConsPlusNormal"/>
        <w:spacing w:before="200"/>
        <w:ind w:firstLine="540"/>
        <w:jc w:val="both"/>
      </w:pPr>
      <w:r>
        <w:t>6.2.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72BF4" w:rsidRDefault="00372BF4">
      <w:pPr>
        <w:pStyle w:val="ConsPlusNormal"/>
        <w:jc w:val="both"/>
      </w:pPr>
      <w:r>
        <w:t xml:space="preserve">(в ред. </w:t>
      </w:r>
      <w:hyperlink r:id="rId34">
        <w:r>
          <w:rPr>
            <w:color w:val="0000FF"/>
          </w:rPr>
          <w:t>решения</w:t>
        </w:r>
      </w:hyperlink>
      <w:r>
        <w:t xml:space="preserve"> Думы города Когалыма от 22.06.2022 N 125-ГД)</w:t>
      </w:r>
    </w:p>
    <w:p w:rsidR="00372BF4" w:rsidRDefault="00372BF4">
      <w:pPr>
        <w:pStyle w:val="ConsPlusNormal"/>
        <w:spacing w:before="200"/>
        <w:ind w:firstLine="540"/>
        <w:jc w:val="both"/>
      </w:pPr>
      <w:r>
        <w:t>Предоставление и исполнение муниципальной гарантии подлежит отражению в муниципальной долговой книге.</w:t>
      </w:r>
    </w:p>
    <w:p w:rsidR="00372BF4" w:rsidRDefault="00372BF4">
      <w:pPr>
        <w:pStyle w:val="ConsPlusNormal"/>
        <w:spacing w:before="200"/>
        <w:ind w:firstLine="540"/>
        <w:jc w:val="both"/>
      </w:pPr>
      <w:r>
        <w:t>6.3. Если муниципальная гарантия обеспечивает исполнение обязательств принципала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 Если муниципальная гарантия обеспечивает исполнение обязательств принципала частично,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w:t>
      </w:r>
    </w:p>
    <w:p w:rsidR="00372BF4" w:rsidRDefault="00372BF4">
      <w:pPr>
        <w:pStyle w:val="ConsPlusNormal"/>
        <w:spacing w:before="200"/>
        <w:ind w:firstLine="540"/>
        <w:jc w:val="both"/>
      </w:pPr>
      <w:r>
        <w:lastRenderedPageBreak/>
        <w:t>Запись об уменьшении муниципального долга города на сумму сокращенной предельной суммы муниципальной гарантии вносится в муниципальную долговую книгу города, в отчетность об исполнении бюджета города за отчетный период, а также в программу муниципальных гарантий города при формировании бюджета города на очередной финансовый год и на плановый период.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гарантий при частичном исполнении обеспеченных муниципальной гарантией обязательств принципала.</w:t>
      </w:r>
    </w:p>
    <w:p w:rsidR="00372BF4" w:rsidRDefault="00372BF4">
      <w:pPr>
        <w:pStyle w:val="ConsPlusNormal"/>
      </w:pPr>
    </w:p>
    <w:p w:rsidR="00372BF4" w:rsidRDefault="00372BF4">
      <w:pPr>
        <w:pStyle w:val="ConsPlusNormal"/>
      </w:pPr>
    </w:p>
    <w:p w:rsidR="00372BF4" w:rsidRDefault="00372BF4">
      <w:pPr>
        <w:pStyle w:val="ConsPlusNormal"/>
        <w:pBdr>
          <w:bottom w:val="single" w:sz="6" w:space="0" w:color="auto"/>
        </w:pBdr>
        <w:spacing w:before="100" w:after="100"/>
        <w:jc w:val="both"/>
        <w:rPr>
          <w:sz w:val="2"/>
          <w:szCs w:val="2"/>
        </w:rPr>
      </w:pPr>
    </w:p>
    <w:p w:rsidR="00957841" w:rsidRDefault="00957841"/>
    <w:sectPr w:rsidR="00957841" w:rsidSect="00B96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F4"/>
    <w:rsid w:val="00372BF4"/>
    <w:rsid w:val="0095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E8E26-F6E4-4F0A-9C9C-6E65944E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B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72B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72B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756FA68E777F5B7D031E1253266F7A14744925C4FB8BFCBF6B2AD1120FDA858611F492CB04EBCFD976F1695n71EG" TargetMode="External"/><Relationship Id="rId13" Type="http://schemas.openxmlformats.org/officeDocument/2006/relationships/hyperlink" Target="consultantplus://offline/ref=520756FA68E777F5B7D02FEC335E31F8A34F1F97564BB0EE92A5B4FA4E70FBFD0A2141106DF75DBDF8896D169F7670BF797733636DD36BC37E2CCE29n71CG" TargetMode="External"/><Relationship Id="rId18" Type="http://schemas.openxmlformats.org/officeDocument/2006/relationships/hyperlink" Target="consultantplus://offline/ref=520756FA68E777F5B7D031E1253266F7A1474398574AB8BFCBF6B2AD1120FDA84A6147412BB057B7ACD829439A7F27F03D2720636ECFn618G" TargetMode="External"/><Relationship Id="rId26" Type="http://schemas.openxmlformats.org/officeDocument/2006/relationships/hyperlink" Target="consultantplus://offline/ref=520756FA68E777F5B7D02FEC335E31F8A34F1F97564BB0EE92A5B4FA4E70FBFD0A2141106DF75DBDF8896D17947670BF797733636DD36BC37E2CCE29n71CG" TargetMode="External"/><Relationship Id="rId3" Type="http://schemas.openxmlformats.org/officeDocument/2006/relationships/webSettings" Target="webSettings.xml"/><Relationship Id="rId21" Type="http://schemas.openxmlformats.org/officeDocument/2006/relationships/hyperlink" Target="consultantplus://offline/ref=520756FA68E777F5B7D031E1253266F7A1474398574AB8BFCBF6B2AD1120FDA858611F492CB04EBCFD976F1695n71EG" TargetMode="External"/><Relationship Id="rId34" Type="http://schemas.openxmlformats.org/officeDocument/2006/relationships/hyperlink" Target="consultantplus://offline/ref=520756FA68E777F5B7D02FEC335E31F8A34F1F97564FBBEC96A5B4FA4E70FBFD0A2141106DF75DBDF8896D16917670BF797733636DD36BC37E2CCE29n71CG" TargetMode="External"/><Relationship Id="rId7" Type="http://schemas.openxmlformats.org/officeDocument/2006/relationships/hyperlink" Target="consultantplus://offline/ref=520756FA68E777F5B7D031E1253266F7A1474398574AB8BFCBF6B2AD1120FDA858611F492CB04EBCFD976F1695n71EG" TargetMode="External"/><Relationship Id="rId12" Type="http://schemas.openxmlformats.org/officeDocument/2006/relationships/hyperlink" Target="consultantplus://offline/ref=520756FA68E777F5B7D02FEC335E31F8A34F1F97564BB0EE92A5B4FA4E70FBFD0A2141106DF75DBDF8896D16907670BF797733636DD36BC37E2CCE29n71CG" TargetMode="External"/><Relationship Id="rId17" Type="http://schemas.openxmlformats.org/officeDocument/2006/relationships/hyperlink" Target="consultantplus://offline/ref=520756FA68E777F5B7D031E1253266F7A1474398574AB8BFCBF6B2AD1120FDA84A6147412BB159B7ACD829439A7F27F03D2720636ECFn618G" TargetMode="External"/><Relationship Id="rId25" Type="http://schemas.openxmlformats.org/officeDocument/2006/relationships/hyperlink" Target="consultantplus://offline/ref=520756FA68E777F5B7D02FEC335E31F8A34F1F97564BB0EE92A5B4FA4E70FBFD0A2141106DF75DBDF8896D17957670BF797733636DD36BC37E2CCE29n71CG" TargetMode="External"/><Relationship Id="rId33" Type="http://schemas.openxmlformats.org/officeDocument/2006/relationships/hyperlink" Target="consultantplus://offline/ref=520756FA68E777F5B7D02FEC335E31F8A34F1F97564BB0EE92A5B4FA4E70FBFD0A2141106DF75DBDF8896D179F7670BF797733636DD36BC37E2CCE29n71CG" TargetMode="External"/><Relationship Id="rId2" Type="http://schemas.openxmlformats.org/officeDocument/2006/relationships/settings" Target="settings.xml"/><Relationship Id="rId16" Type="http://schemas.openxmlformats.org/officeDocument/2006/relationships/hyperlink" Target="consultantplus://offline/ref=520756FA68E777F5B7D031E1253266F7A1474398574AB8BFCBF6B2AD1120FDA84A6147412AB457B7ACD829439A7F27F03D2720636ECFn618G" TargetMode="External"/><Relationship Id="rId20" Type="http://schemas.openxmlformats.org/officeDocument/2006/relationships/hyperlink" Target="consultantplus://offline/ref=520756FA68E777F5B7D031E1253266F7A1474398574AB8BFCBF6B2AD1120FDA858611F492CB04EBCFD976F1695n71EG" TargetMode="External"/><Relationship Id="rId29" Type="http://schemas.openxmlformats.org/officeDocument/2006/relationships/hyperlink" Target="consultantplus://offline/ref=520756FA68E777F5B7D031E1253266F7A1474398574AB8BFCBF6B2AD1120FDA84A6147412BBA56B7ACD829439A7F27F03D2720636ECFn618G" TargetMode="External"/><Relationship Id="rId1" Type="http://schemas.openxmlformats.org/officeDocument/2006/relationships/styles" Target="styles.xml"/><Relationship Id="rId6" Type="http://schemas.openxmlformats.org/officeDocument/2006/relationships/hyperlink" Target="consultantplus://offline/ref=520756FA68E777F5B7D02FEC335E31F8A34F1F97564FBBEC96A5B4FA4E70FBFD0A2141106DF75DBDF8896D16927670BF797733636DD36BC37E2CCE29n71CG" TargetMode="External"/><Relationship Id="rId11" Type="http://schemas.openxmlformats.org/officeDocument/2006/relationships/hyperlink" Target="consultantplus://offline/ref=520756FA68E777F5B7D031E1253266F7A1474398574AB8BFCBF6B2AD1120FDA858611F492CB04EBCFD976F1695n71EG" TargetMode="External"/><Relationship Id="rId24" Type="http://schemas.openxmlformats.org/officeDocument/2006/relationships/hyperlink" Target="consultantplus://offline/ref=520756FA68E777F5B7D02FEC335E31F8A34F1F97564BB0EE92A5B4FA4E70FBFD0A2141106DF75DBDF8896D17967670BF797733636DD36BC37E2CCE29n71CG" TargetMode="External"/><Relationship Id="rId32" Type="http://schemas.openxmlformats.org/officeDocument/2006/relationships/hyperlink" Target="consultantplus://offline/ref=520756FA68E777F5B7D02FEC335E31F8A34F1F97564BB0EE92A5B4FA4E70FBFD0A2141106DF75DBDF8896D17907670BF797733636DD36BC37E2CCE29n71CG" TargetMode="External"/><Relationship Id="rId5" Type="http://schemas.openxmlformats.org/officeDocument/2006/relationships/hyperlink" Target="consultantplus://offline/ref=520756FA68E777F5B7D02FEC335E31F8A34F1F97564BB0EE92A5B4FA4E70FBFD0A2141106DF75DBDF8896D16927670BF797733636DD36BC37E2CCE29n71CG" TargetMode="External"/><Relationship Id="rId15" Type="http://schemas.openxmlformats.org/officeDocument/2006/relationships/hyperlink" Target="consultantplus://offline/ref=520756FA68E777F5B7D02FEC335E31F8A34F1F97564BB0EE92A5B4FA4E70FBFD0A2141106DF75DBDF8896D169E7670BF797733636DD36BC37E2CCE29n71CG" TargetMode="External"/><Relationship Id="rId23" Type="http://schemas.openxmlformats.org/officeDocument/2006/relationships/hyperlink" Target="consultantplus://offline/ref=520756FA68E777F5B7D031E1253266F7A1474398574AB8BFCBF6B2AD1120FDA84A6147412EB752B7ACD829439A7F27F03D2720636ECFn618G" TargetMode="External"/><Relationship Id="rId28" Type="http://schemas.openxmlformats.org/officeDocument/2006/relationships/hyperlink" Target="consultantplus://offline/ref=520756FA68E777F5B7D02FEC335E31F8A34F1F97564BB0EE92A5B4FA4E70FBFD0A2141106DF75DBDF8896D17937670BF797733636DD36BC37E2CCE29n71CG" TargetMode="External"/><Relationship Id="rId36" Type="http://schemas.openxmlformats.org/officeDocument/2006/relationships/theme" Target="theme/theme1.xml"/><Relationship Id="rId10" Type="http://schemas.openxmlformats.org/officeDocument/2006/relationships/hyperlink" Target="consultantplus://offline/ref=520756FA68E777F5B7D031E1253266F7A147499E534BB8BFCBF6B2AD1120FDA858611F492CB04EBCFD976F1695n71EG" TargetMode="External"/><Relationship Id="rId19" Type="http://schemas.openxmlformats.org/officeDocument/2006/relationships/hyperlink" Target="consultantplus://offline/ref=520756FA68E777F5B7D031E1253266F7A1474398574AB8BFCBF6B2AD1120FDA858611F492CB04EBCFD976F1695n71EG" TargetMode="External"/><Relationship Id="rId31" Type="http://schemas.openxmlformats.org/officeDocument/2006/relationships/hyperlink" Target="consultantplus://offline/ref=520756FA68E777F5B7D031E1253266F7A1474398574AB8BFCBF6B2AD1120FDA84A61474029B757B7ACD829439A7F27F03D2720636ECFn618G" TargetMode="External"/><Relationship Id="rId4" Type="http://schemas.openxmlformats.org/officeDocument/2006/relationships/hyperlink" Target="consultantplus://offline/ref=520756FA68E777F5B7D02FEC335E31F8A34F1F97564AB4E890A7B4FA4E70FBFD0A2141106DF75DBDF8896D16917670BF797733636DD36BC37E2CCE29n71CG" TargetMode="External"/><Relationship Id="rId9" Type="http://schemas.openxmlformats.org/officeDocument/2006/relationships/hyperlink" Target="consultantplus://offline/ref=520756FA68E777F5B7D031E1253266F7A1474398574AB8BFCBF6B2AD1120FDA858611F492CB04EBCFD976F1695n71EG" TargetMode="External"/><Relationship Id="rId14" Type="http://schemas.openxmlformats.org/officeDocument/2006/relationships/hyperlink" Target="consultantplus://offline/ref=520756FA68E777F5B7D02FEC335E31F8A34F1F97564BB0EE92A5B4FA4E70FBFD0A2141106DF75DBDF8896D179E7670BF797733636DD36BC37E2CCE29n71CG" TargetMode="External"/><Relationship Id="rId22" Type="http://schemas.openxmlformats.org/officeDocument/2006/relationships/hyperlink" Target="consultantplus://offline/ref=520756FA68E777F5B7D031E1253266F7A1474398574AB8BFCBF6B2AD1120FDA84A6147412EB059B7ACD829439A7F27F03D2720636ECFn618G" TargetMode="External"/><Relationship Id="rId27" Type="http://schemas.openxmlformats.org/officeDocument/2006/relationships/hyperlink" Target="consultantplus://offline/ref=520756FA68E777F5B7D031E1253266F7A1474398574AB8BFCBF6B2AD1120FDA858611F492CB04EBCFD976F1695n71EG" TargetMode="External"/><Relationship Id="rId30" Type="http://schemas.openxmlformats.org/officeDocument/2006/relationships/hyperlink" Target="consultantplus://offline/ref=520756FA68E777F5B7D031E1253266F7A1474398574AB8BFCBF6B2AD1120FDA84A6147412BB050B7ACD829439A7F27F03D2720636ECFn618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Пилипцова Диана Викторовна</cp:lastModifiedBy>
  <cp:revision>1</cp:revision>
  <dcterms:created xsi:type="dcterms:W3CDTF">2023-05-23T06:53:00Z</dcterms:created>
  <dcterms:modified xsi:type="dcterms:W3CDTF">2023-05-23T06:55:00Z</dcterms:modified>
</cp:coreProperties>
</file>