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EC" w:rsidRPr="00EB54EF" w:rsidRDefault="00B710EC" w:rsidP="00B710EC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pacing w:val="-6"/>
          <w:sz w:val="26"/>
          <w:szCs w:val="26"/>
          <w:lang w:eastAsia="en-US"/>
        </w:rPr>
      </w:pPr>
      <w:bookmarkStart w:id="0" w:name="_Toc100846828"/>
      <w:r w:rsidRPr="00EB54EF">
        <w:rPr>
          <w:spacing w:val="-6"/>
          <w:sz w:val="26"/>
          <w:szCs w:val="26"/>
          <w:lang w:eastAsia="en-US"/>
        </w:rPr>
        <w:t>2.3. Инвестиции в основной капитал, стимулирование инвестиционного развития</w:t>
      </w:r>
      <w:bookmarkEnd w:id="0"/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Cs w:val="26"/>
          <w:lang w:eastAsia="en-US"/>
        </w:rPr>
      </w:pP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Инвестиционная политика города Когалыма представляет собой совокупность мер по активизации инвестиционного процесса для устойчивого социально-экономического развития города, основной целью которого является повышение благосостояния его жителей.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Для улучшения информированности и развития предпринимательства,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деятельности, а также доступа к информации о мерах поддержки, реализуемой Правительством Ханты-Мансийского автономного округа – Югры, инфраструктурными организациями автономного округа, на Инвестиционном портале города Когалыма </w:t>
      </w:r>
      <w:r w:rsidRPr="00EB54EF">
        <w:rPr>
          <w:rFonts w:cstheme="minorBidi"/>
          <w:sz w:val="26"/>
          <w:szCs w:val="26"/>
        </w:rPr>
        <w:t xml:space="preserve">размещена вся необходимая информация, актуализируется содержательное наполнение Инвестиционного портала </w:t>
      </w:r>
      <w:r w:rsidRPr="00EB54EF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hyperlink r:id="rId4" w:history="1">
        <w:r w:rsidRPr="00EB54EF">
          <w:rPr>
            <w:rFonts w:eastAsiaTheme="minorHAnsi" w:cstheme="minorBidi"/>
            <w:sz w:val="26"/>
            <w:szCs w:val="26"/>
            <w:lang w:eastAsia="en-US"/>
          </w:rPr>
          <w:t>http://invest.admkogalym.ru/</w:t>
        </w:r>
      </w:hyperlink>
      <w:r w:rsidRPr="00EB54EF">
        <w:rPr>
          <w:rFonts w:eastAsiaTheme="minorHAnsi" w:cstheme="minorBidi"/>
          <w:sz w:val="26"/>
          <w:szCs w:val="26"/>
          <w:lang w:eastAsia="en-US"/>
        </w:rPr>
        <w:t>).</w:t>
      </w: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>Кроме этого, сведения об инвестиционном потенциале города Когалыма размещены на Инвестиционной карте Югры (</w:t>
      </w:r>
      <w:hyperlink r:id="rId5" w:history="1">
        <w:r w:rsidRPr="00EB54EF">
          <w:rPr>
            <w:rStyle w:val="a5"/>
            <w:sz w:val="26"/>
            <w:szCs w:val="26"/>
          </w:rPr>
          <w:t>Инвестиционная карта Югры</w:t>
        </w:r>
      </w:hyperlink>
      <w:r w:rsidRPr="00EB54EF">
        <w:rPr>
          <w:rFonts w:cstheme="minorBidi"/>
          <w:sz w:val="26"/>
          <w:szCs w:val="26"/>
        </w:rPr>
        <w:t>), Инвестиционном портале (</w:t>
      </w:r>
      <w:hyperlink r:id="rId6" w:history="1">
        <w:r w:rsidRPr="00EB54EF">
          <w:rPr>
            <w:rFonts w:cstheme="minorBidi"/>
            <w:sz w:val="26"/>
            <w:szCs w:val="26"/>
            <w:u w:val="single"/>
          </w:rPr>
          <w:t>http://investugra.ru</w:t>
        </w:r>
      </w:hyperlink>
      <w:r w:rsidRPr="00EB54EF">
        <w:rPr>
          <w:rFonts w:cstheme="minorBidi"/>
          <w:sz w:val="26"/>
          <w:szCs w:val="26"/>
        </w:rPr>
        <w:t>) и Интерактивной карте промышленности ХМАО-Югры (</w:t>
      </w:r>
      <w:hyperlink r:id="rId7" w:history="1">
        <w:r w:rsidRPr="00EB54EF">
          <w:rPr>
            <w:rFonts w:cstheme="minorBidi"/>
            <w:sz w:val="26"/>
            <w:szCs w:val="26"/>
            <w:u w:val="single"/>
          </w:rPr>
          <w:t>Карта промышленности Югры</w:t>
        </w:r>
      </w:hyperlink>
      <w:r w:rsidRPr="00EB54EF">
        <w:rPr>
          <w:rFonts w:cstheme="minorBidi"/>
          <w:sz w:val="26"/>
          <w:szCs w:val="26"/>
        </w:rPr>
        <w:t>).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С целью повышения качества условий проживания и коммунального обслуживания в части теплоснабжения, водоснабжения, водоотведения, электроснабжения населения и организаций, в городе Когалыме продолжают реализовываться инвестиционные программы по реконструкции, модернизации и развитию систем теплоснабжения, водоснабжения, водоотведения и электроснабжения города Когалыма: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инвестиционная программа ООО «Концессионная Коммунальная Компания» в сфере теплоснабжения на территории города Когалыма на 2020-2023 годы;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инвестиционная программа ООО «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Горводоканал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>» по реконструкции, модернизации и развитию систем водоснабжения и водоотведения города Когалыма на 2021-2023 годы;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инвестиционная программа АО «ЮРЭСК» на период 2023-2027 годов, по модернизации, реконструкции и строительству объектов электросетевого комплекса на территории города Когалыма.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Источником финансирования мероприятий инвестиционных программ в 2023 году были собственные средства предприятий, бюджет ХМАО-Югры и бюджет города Когалыма.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Сегодня реестр реализуемых в городе инвестиционных проектов включает в себя 40 проектов с объемом инвестиций в 23,2 млрд. руб., в перечень планируемых проектов включены 14 инвестиционных проектов. Информация об указанных проектах размещена на Инвестиционном портале города Когалыма.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Для решения стратегической задачи повышения эффективности топливно-энергетического комплекса за счет использования новых технологий и развития 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нефтесервиса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 Администрацией города Когалыма, совместно с Фондом развития Югры, ООО «Лукойл – Западная Сибирь», Управляющей компанией «Промышленные парки Югры» проводится работа по созданию и развитию индустриального парка в городе Когалыме. 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lastRenderedPageBreak/>
        <w:t>На территории Парка планируется размещение производства оборудование для бурения, переработка пластика, производство пластмасс и синтетических смол в первичных формах.</w:t>
      </w:r>
    </w:p>
    <w:p w:rsidR="00B710EC" w:rsidRPr="00EB54EF" w:rsidRDefault="00B710EC" w:rsidP="00B710EC">
      <w:pPr>
        <w:ind w:firstLine="709"/>
        <w:jc w:val="both"/>
        <w:rPr>
          <w:rFonts w:eastAsiaTheme="minorHAnsi" w:cstheme="minorBidi"/>
          <w:spacing w:val="-6"/>
          <w:sz w:val="26"/>
          <w:szCs w:val="26"/>
          <w:lang w:eastAsia="en-US"/>
        </w:rPr>
      </w:pPr>
      <w:r w:rsidRPr="00EB54EF">
        <w:rPr>
          <w:rFonts w:eastAsiaTheme="minorHAnsi" w:cstheme="minorBidi"/>
          <w:spacing w:val="-6"/>
          <w:sz w:val="26"/>
          <w:szCs w:val="26"/>
          <w:lang w:eastAsia="en-US"/>
        </w:rPr>
        <w:t xml:space="preserve">В 2023 году были проведены рабочие встречи и выезды на </w:t>
      </w:r>
      <w:proofErr w:type="gramStart"/>
      <w:r w:rsidRPr="00EB54EF">
        <w:rPr>
          <w:rFonts w:eastAsiaTheme="minorHAnsi" w:cstheme="minorBidi"/>
          <w:spacing w:val="-6"/>
          <w:sz w:val="26"/>
          <w:szCs w:val="26"/>
          <w:lang w:eastAsia="en-US"/>
        </w:rPr>
        <w:t>площадку  Индустриального</w:t>
      </w:r>
      <w:proofErr w:type="gramEnd"/>
      <w:r w:rsidRPr="00EB54EF">
        <w:rPr>
          <w:rFonts w:eastAsiaTheme="minorHAnsi" w:cstheme="minorBidi"/>
          <w:spacing w:val="-6"/>
          <w:sz w:val="26"/>
          <w:szCs w:val="26"/>
          <w:lang w:eastAsia="en-US"/>
        </w:rPr>
        <w:t xml:space="preserve"> парка в городе Когалыме.</w:t>
      </w: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В течение года проведено 5 заседаний Совета по вопросам развития инвестиционной деятельности в городе Когалыме (далее – Совет). </w:t>
      </w:r>
    </w:p>
    <w:p w:rsidR="00B710EC" w:rsidRPr="00EB54EF" w:rsidRDefault="00B710EC" w:rsidP="00B710EC">
      <w:pPr>
        <w:ind w:firstLine="708"/>
        <w:jc w:val="both"/>
        <w:rPr>
          <w:rFonts w:cstheme="minorBidi"/>
          <w:spacing w:val="-6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Очные заседания Совета транслируются в сеть «Интернет» на канале Администрации города Когалыма на </w:t>
      </w:r>
      <w:proofErr w:type="spellStart"/>
      <w:r w:rsidRPr="00EB54EF">
        <w:rPr>
          <w:rFonts w:cstheme="minorBidi"/>
          <w:sz w:val="26"/>
          <w:szCs w:val="26"/>
        </w:rPr>
        <w:t>видеохостинге</w:t>
      </w:r>
      <w:proofErr w:type="spellEnd"/>
      <w:r w:rsidRPr="00EB54EF">
        <w:rPr>
          <w:rFonts w:cstheme="minorBidi"/>
          <w:sz w:val="26"/>
          <w:szCs w:val="26"/>
        </w:rPr>
        <w:t xml:space="preserve"> «</w:t>
      </w:r>
      <w:proofErr w:type="spellStart"/>
      <w:r w:rsidRPr="00EB54EF">
        <w:rPr>
          <w:rFonts w:cstheme="minorBidi"/>
          <w:sz w:val="26"/>
          <w:szCs w:val="26"/>
          <w:lang w:val="en-US"/>
        </w:rPr>
        <w:t>Rutube</w:t>
      </w:r>
      <w:proofErr w:type="spellEnd"/>
      <w:r w:rsidRPr="00EB54EF">
        <w:rPr>
          <w:rFonts w:cstheme="minorBidi"/>
          <w:sz w:val="26"/>
          <w:szCs w:val="26"/>
        </w:rPr>
        <w:t xml:space="preserve">» с последующим размещением записей на Инвестиционном портале города Когалыма </w:t>
      </w:r>
      <w:r w:rsidRPr="00EB54EF">
        <w:rPr>
          <w:rFonts w:eastAsiaTheme="minorHAnsi" w:cstheme="minorBidi"/>
          <w:sz w:val="26"/>
          <w:szCs w:val="26"/>
          <w:lang w:eastAsia="en-US"/>
        </w:rPr>
        <w:t>(</w:t>
      </w:r>
      <w:hyperlink r:id="rId8" w:history="1">
        <w:r w:rsidRPr="00EB54EF">
          <w:rPr>
            <w:rStyle w:val="a5"/>
            <w:rFonts w:eastAsiaTheme="minorHAnsi" w:cstheme="minorBidi"/>
            <w:sz w:val="26"/>
            <w:szCs w:val="26"/>
            <w:lang w:eastAsia="en-US"/>
          </w:rPr>
          <w:t>Видеотрансляция заседаний</w:t>
        </w:r>
      </w:hyperlink>
      <w:hyperlink r:id="rId9" w:history="1">
        <w:r w:rsidRPr="00EB54EF">
          <w:rPr>
            <w:rFonts w:cstheme="minorBidi"/>
            <w:spacing w:val="-6"/>
            <w:sz w:val="26"/>
            <w:szCs w:val="26"/>
            <w:u w:val="single"/>
          </w:rPr>
          <w:t>)</w:t>
        </w:r>
      </w:hyperlink>
      <w:r w:rsidRPr="00EB54EF">
        <w:rPr>
          <w:rFonts w:cstheme="minorBidi"/>
          <w:spacing w:val="-6"/>
          <w:sz w:val="26"/>
          <w:szCs w:val="26"/>
        </w:rPr>
        <w:t>.</w:t>
      </w:r>
    </w:p>
    <w:p w:rsidR="00B710EC" w:rsidRPr="00EB54EF" w:rsidRDefault="00B710EC" w:rsidP="00B710EC">
      <w:pPr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На уровне региона в октябре 2023 года утвержден перечень минимальных требований к муниципальным образованиям округа,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 в автономном округе, а также реализация инвестиционных проектов («Муниципальный инвестиционный стандарт»).</w:t>
      </w:r>
    </w:p>
    <w:p w:rsidR="00B710EC" w:rsidRPr="00EB54EF" w:rsidRDefault="00B710EC" w:rsidP="00B710EC">
      <w:pPr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Муниципальный инвестиционный стандарт содержит ряд требований, такие как</w:t>
      </w:r>
      <w:r w:rsidRPr="00EB54EF">
        <w:t xml:space="preserve"> </w:t>
      </w:r>
      <w:r w:rsidRPr="00EB54EF">
        <w:rPr>
          <w:rFonts w:eastAsia="Calibri"/>
          <w:sz w:val="26"/>
          <w:szCs w:val="26"/>
        </w:rPr>
        <w:t>наличие отдельного инвестиционного портала муниципального образования; наличие инвестиционного уполномоченного, наличие разработанного инвестиционного профиля и другие.</w:t>
      </w:r>
    </w:p>
    <w:p w:rsidR="00B710EC" w:rsidRPr="00EB54EF" w:rsidRDefault="00B710EC" w:rsidP="00B710EC">
      <w:pPr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330DD70" wp14:editId="64ABFDF5">
            <wp:simplePos x="0" y="0"/>
            <wp:positionH relativeFrom="column">
              <wp:posOffset>3216910</wp:posOffset>
            </wp:positionH>
            <wp:positionV relativeFrom="paragraph">
              <wp:posOffset>540385</wp:posOffset>
            </wp:positionV>
            <wp:extent cx="2400935" cy="1691640"/>
            <wp:effectExtent l="171450" t="171450" r="170815" b="194310"/>
            <wp:wrapTight wrapText="bothSides">
              <wp:wrapPolygon edited="0">
                <wp:start x="-1371" y="-2189"/>
                <wp:lineTo x="-1542" y="21892"/>
                <wp:lineTo x="-1028" y="23838"/>
                <wp:lineTo x="22451" y="23838"/>
                <wp:lineTo x="22623" y="23351"/>
                <wp:lineTo x="22965" y="21892"/>
                <wp:lineTo x="22965" y="-2189"/>
                <wp:lineTo x="-1371" y="-2189"/>
              </wp:wrapPolygon>
            </wp:wrapTight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91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EB54EF">
        <w:rPr>
          <w:rFonts w:eastAsia="Calibri"/>
          <w:sz w:val="26"/>
          <w:szCs w:val="26"/>
        </w:rPr>
        <w:t>Работа по созданию профиля велась в период с сентября по декабрь 2023 года Автономной некоммерческой организацией «Национальный институт инвестиционного развития территорий». Для проведения анализа социально-экономической ситуации в городе проводилось анкетирование горожан и опрос представителей малого и среднего бизнеса, интервью главы и представителей ключевых организаций города.</w:t>
      </w:r>
      <w:r w:rsidRPr="00EB54EF">
        <w:rPr>
          <w:noProof/>
        </w:rPr>
        <w:t xml:space="preserve"> </w:t>
      </w:r>
      <w:proofErr w:type="spellStart"/>
      <w:r w:rsidRPr="00EB54EF">
        <w:rPr>
          <w:rFonts w:eastAsia="Calibri"/>
          <w:sz w:val="26"/>
          <w:szCs w:val="26"/>
        </w:rPr>
        <w:t>Инвестпрофиль</w:t>
      </w:r>
      <w:proofErr w:type="spellEnd"/>
      <w:r w:rsidRPr="00EB54EF">
        <w:rPr>
          <w:rFonts w:eastAsia="Calibri"/>
          <w:sz w:val="26"/>
          <w:szCs w:val="26"/>
        </w:rPr>
        <w:t xml:space="preserve"> размещен на Инвестиционном портале города Когалыма.</w:t>
      </w:r>
    </w:p>
    <w:p w:rsidR="00B710EC" w:rsidRPr="00EB54EF" w:rsidRDefault="00B710EC" w:rsidP="00B710EC">
      <w:pPr>
        <w:ind w:firstLine="709"/>
        <w:jc w:val="both"/>
        <w:rPr>
          <w:rFonts w:eastAsia="Calibri"/>
          <w:sz w:val="26"/>
          <w:szCs w:val="26"/>
        </w:rPr>
      </w:pPr>
      <w:r w:rsidRPr="00EB54EF">
        <w:rPr>
          <w:rFonts w:eastAsia="Calibri"/>
          <w:sz w:val="26"/>
          <w:szCs w:val="26"/>
        </w:rPr>
        <w:t>Формирование единого подхода к сопровождению инвестиционных проектов благодаря внедрению муниципального инвестиционного стандарта позволит создать благоприятные условия для развития инвестиционной деятельности и будет способствовать привлечению инвестиций на территорию города Когалыма.</w:t>
      </w: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53A8BE7" wp14:editId="2215E5FA">
            <wp:simplePos x="0" y="0"/>
            <wp:positionH relativeFrom="column">
              <wp:posOffset>4397126</wp:posOffset>
            </wp:positionH>
            <wp:positionV relativeFrom="paragraph">
              <wp:posOffset>277799</wp:posOffset>
            </wp:positionV>
            <wp:extent cx="948055" cy="1447800"/>
            <wp:effectExtent l="171450" t="171450" r="194945" b="190500"/>
            <wp:wrapTight wrapText="bothSides">
              <wp:wrapPolygon edited="0">
                <wp:start x="-3472" y="-2558"/>
                <wp:lineTo x="-3906" y="20747"/>
                <wp:lineTo x="-3038" y="24158"/>
                <wp:lineTo x="24305" y="24158"/>
                <wp:lineTo x="25608" y="20747"/>
                <wp:lineTo x="25608" y="2558"/>
                <wp:lineTo x="24739" y="-2558"/>
                <wp:lineTo x="-3472" y="-2558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cstheme="minorBidi"/>
          <w:sz w:val="26"/>
          <w:szCs w:val="26"/>
        </w:rPr>
        <w:t>Для повышения узнаваемости города был создан бренд города Когалыма «Конечно Когалым». В феврале 2023 года Василием Дубейковским и командой «</w:t>
      </w:r>
      <w:proofErr w:type="spellStart"/>
      <w:r w:rsidRPr="00EB54EF">
        <w:rPr>
          <w:rFonts w:cstheme="minorBidi"/>
          <w:sz w:val="26"/>
          <w:szCs w:val="26"/>
        </w:rPr>
        <w:t>Ситибрендинг</w:t>
      </w:r>
      <w:proofErr w:type="spellEnd"/>
      <w:r w:rsidRPr="00EB54EF">
        <w:rPr>
          <w:rFonts w:cstheme="minorBidi"/>
          <w:sz w:val="26"/>
          <w:szCs w:val="26"/>
        </w:rPr>
        <w:t xml:space="preserve">» населению города Когалыма был представлен </w:t>
      </w:r>
      <w:hyperlink r:id="rId12" w:history="1">
        <w:proofErr w:type="spellStart"/>
        <w:r w:rsidRPr="00EB54EF">
          <w:rPr>
            <w:rStyle w:val="a5"/>
            <w:rFonts w:cstheme="minorBidi"/>
            <w:sz w:val="26"/>
            <w:szCs w:val="26"/>
          </w:rPr>
          <w:t>брендбук</w:t>
        </w:r>
        <w:proofErr w:type="spellEnd"/>
        <w:r w:rsidRPr="00EB54EF">
          <w:rPr>
            <w:rStyle w:val="a5"/>
            <w:rFonts w:cstheme="minorBidi"/>
            <w:sz w:val="26"/>
            <w:szCs w:val="26"/>
          </w:rPr>
          <w:t xml:space="preserve"> города Когалыма</w:t>
        </w:r>
      </w:hyperlink>
      <w:r w:rsidRPr="00EB54EF">
        <w:rPr>
          <w:rFonts w:cstheme="minorBidi"/>
          <w:sz w:val="26"/>
          <w:szCs w:val="26"/>
        </w:rPr>
        <w:t xml:space="preserve">. </w:t>
      </w: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Функции по организации и проведению мероприятий, связанных с реализацией мероприятий по развитию маркетинга и </w:t>
      </w:r>
      <w:proofErr w:type="spellStart"/>
      <w:r w:rsidRPr="00EB54EF">
        <w:rPr>
          <w:rFonts w:cstheme="minorBidi"/>
          <w:sz w:val="26"/>
          <w:szCs w:val="26"/>
        </w:rPr>
        <w:t>брендинга</w:t>
      </w:r>
      <w:proofErr w:type="spellEnd"/>
      <w:r w:rsidRPr="00EB54EF">
        <w:rPr>
          <w:rFonts w:cstheme="minorBidi"/>
          <w:sz w:val="26"/>
          <w:szCs w:val="26"/>
        </w:rPr>
        <w:t xml:space="preserve"> территории на территории города Когалыма относятся к Туристско-информационному центру </w:t>
      </w:r>
      <w:proofErr w:type="spellStart"/>
      <w:r w:rsidRPr="00EB54EF">
        <w:rPr>
          <w:rFonts w:cstheme="minorBidi"/>
          <w:sz w:val="26"/>
          <w:szCs w:val="26"/>
        </w:rPr>
        <w:t>г.Когалыма</w:t>
      </w:r>
      <w:proofErr w:type="spellEnd"/>
      <w:r w:rsidRPr="00EB54EF">
        <w:rPr>
          <w:rFonts w:cstheme="minorBidi"/>
          <w:sz w:val="26"/>
          <w:szCs w:val="26"/>
        </w:rPr>
        <w:t>.</w:t>
      </w: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>В ноябре 2023 года в городе Ханты-Мансийск состоялся Югорский экономический форум. Участники форума представители Администрации города Когалыма и промышленных предприятий города.</w:t>
      </w:r>
    </w:p>
    <w:p w:rsidR="00B710EC" w:rsidRPr="00EB54EF" w:rsidRDefault="00B710EC" w:rsidP="00B710EC">
      <w:pPr>
        <w:ind w:firstLine="720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B54EF">
        <w:rPr>
          <w:rFonts w:eastAsia="Calibri"/>
          <w:noProof/>
          <w:spacing w:val="-6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D245F1E" wp14:editId="3761DDB0">
            <wp:simplePos x="0" y="0"/>
            <wp:positionH relativeFrom="column">
              <wp:posOffset>3706495</wp:posOffset>
            </wp:positionH>
            <wp:positionV relativeFrom="paragraph">
              <wp:posOffset>114300</wp:posOffset>
            </wp:positionV>
            <wp:extent cx="1774101" cy="1322070"/>
            <wp:effectExtent l="114300" t="114300" r="112395" b="144780"/>
            <wp:wrapTight wrapText="bothSides">
              <wp:wrapPolygon edited="0">
                <wp:start x="-1392" y="-1867"/>
                <wp:lineTo x="-1392" y="23654"/>
                <wp:lineTo x="22737" y="23654"/>
                <wp:lineTo x="22737" y="-1867"/>
                <wp:lineTo x="-1392" y="-1867"/>
              </wp:wrapPolygon>
            </wp:wrapTight>
            <wp:docPr id="22" name="Рисунок 22" descr="N:\УИДиРП\1.2 ОТДЕЛ ПУиИ\1. ПРОЕКТНАЯ ДЕЯТЕЛЬНОСТЬ\ДРУГОЕ\ЛОГОТИП НАЦПРОЕКТЫ\Нац_проекты_лого_крас_инверсия_л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УИДиРП\1.2 ОТДЕЛ ПУиИ\1. ПРОЕКТНАЯ ДЕЯТЕЛЬНОСТЬ\ДРУГОЕ\ЛОГОТИП НАЦПРОЕКТЫ\Нац_проекты_лого_крас_инверсия_лев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01" cy="1322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="Calibri"/>
          <w:spacing w:val="-6"/>
          <w:sz w:val="26"/>
          <w:szCs w:val="26"/>
          <w:lang w:eastAsia="en-US"/>
        </w:rPr>
        <w:t>Муниципальное образование город Когалым в 2023 году принимало участие в 17 региональных проектах, входящих в портфели проектов по 7 направлениям:</w:t>
      </w:r>
      <w:r w:rsidRPr="00EB54EF">
        <w:rPr>
          <w:rFonts w:eastAsia="Calibri"/>
          <w:noProof/>
          <w:spacing w:val="-6"/>
          <w:sz w:val="26"/>
          <w:szCs w:val="26"/>
        </w:rPr>
        <w:t xml:space="preserve"> </w:t>
      </w:r>
      <w:r w:rsidRPr="00EB54EF">
        <w:rPr>
          <w:rFonts w:eastAsia="Calibri"/>
          <w:spacing w:val="-6"/>
          <w:sz w:val="26"/>
          <w:szCs w:val="26"/>
          <w:lang w:eastAsia="en-US"/>
        </w:rPr>
        <w:t>«Демография», «Образование», «Жилье и городская среда», «Экология», «Малое и среднее предпринимательство»,</w:t>
      </w:r>
      <w:r w:rsidRPr="00EB54EF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EB54EF">
        <w:rPr>
          <w:rFonts w:eastAsia="Calibri"/>
          <w:spacing w:val="-6"/>
          <w:sz w:val="26"/>
          <w:szCs w:val="26"/>
          <w:lang w:eastAsia="en-US"/>
        </w:rPr>
        <w:t>«Культура», «Здравоохранение», в рамках которых был установлен 21 целевой показатель, все показатели достигнуты в полном объеме.</w:t>
      </w:r>
    </w:p>
    <w:p w:rsidR="00B710EC" w:rsidRPr="00EB54EF" w:rsidRDefault="00B710EC" w:rsidP="00B710EC">
      <w:pPr>
        <w:ind w:firstLine="708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Одним из приоритетных направлений деятельности Администрации города продолжает оставаться развитие </w:t>
      </w:r>
      <w:proofErr w:type="spellStart"/>
      <w:r w:rsidRPr="00EB54EF">
        <w:rPr>
          <w:rFonts w:cstheme="minorBidi"/>
          <w:sz w:val="26"/>
          <w:szCs w:val="26"/>
        </w:rPr>
        <w:t>муниципально</w:t>
      </w:r>
      <w:proofErr w:type="spellEnd"/>
      <w:r w:rsidRPr="00EB54EF">
        <w:rPr>
          <w:rFonts w:cstheme="minorBidi"/>
          <w:sz w:val="26"/>
          <w:szCs w:val="26"/>
        </w:rPr>
        <w:t>-частного партнерства, в том числе через реализацию концессионных соглашений.</w:t>
      </w:r>
    </w:p>
    <w:p w:rsidR="00B710EC" w:rsidRPr="00EB54EF" w:rsidRDefault="00B710EC" w:rsidP="00B710EC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В городе действует 3 концессионных соглашения в сферах теплоснабжения, водоснабжения и водоотведения, электроснабжения. 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В муниципальных учреждениях города Когалыма заключены 7 </w:t>
      </w:r>
      <w:proofErr w:type="spellStart"/>
      <w:r w:rsidRPr="00EB54EF">
        <w:rPr>
          <w:rFonts w:cstheme="minorBidi"/>
          <w:sz w:val="26"/>
          <w:szCs w:val="26"/>
        </w:rPr>
        <w:t>энергосервисных</w:t>
      </w:r>
      <w:proofErr w:type="spellEnd"/>
      <w:r w:rsidRPr="00EB54EF">
        <w:rPr>
          <w:rFonts w:cstheme="minorBidi"/>
          <w:sz w:val="26"/>
          <w:szCs w:val="26"/>
        </w:rPr>
        <w:t xml:space="preserve"> контрактов на общую </w:t>
      </w:r>
      <w:r w:rsidRPr="00EB54EF">
        <w:rPr>
          <w:sz w:val="26"/>
          <w:szCs w:val="26"/>
        </w:rPr>
        <w:t>сумму 74,417 млн. руб.: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- МАДОУ «Колокольчик» - на сумму </w:t>
      </w:r>
      <w:r w:rsidRPr="00EB54EF">
        <w:rPr>
          <w:sz w:val="26"/>
          <w:szCs w:val="26"/>
        </w:rPr>
        <w:t>1,980 млн. руб</w:t>
      </w:r>
      <w:r w:rsidRPr="00EB54EF">
        <w:rPr>
          <w:rFonts w:cstheme="minorBidi"/>
          <w:sz w:val="26"/>
          <w:szCs w:val="26"/>
        </w:rPr>
        <w:t xml:space="preserve">. В рамках проекта предполагается заменить 703 люминесцентных светильника на светодиодные с учетом всех требований к дошкольным учреждениям. По предварительным расчетам планируемая экономия составит 60-65 тыс. кВт/час или 400 тыс. руб.; 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- МАДОУ «Сказка» - на сумму </w:t>
      </w:r>
      <w:r w:rsidRPr="00EB54EF">
        <w:rPr>
          <w:sz w:val="26"/>
          <w:szCs w:val="26"/>
        </w:rPr>
        <w:t xml:space="preserve">5,233 млн. руб. </w:t>
      </w:r>
      <w:r w:rsidRPr="00EB54EF">
        <w:rPr>
          <w:rFonts w:cstheme="minorBidi"/>
          <w:sz w:val="26"/>
          <w:szCs w:val="26"/>
        </w:rPr>
        <w:t>Экономия энергетических ресурсов в натуральном выражении составляет не менее 729 тыс. кВт/час;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- МАОУ «Средняя общеобразовательная школа-сад №10» - на сумму </w:t>
      </w:r>
      <w:r w:rsidRPr="00EB54EF">
        <w:rPr>
          <w:sz w:val="26"/>
          <w:szCs w:val="26"/>
        </w:rPr>
        <w:t>4,694 млн. руб.</w:t>
      </w:r>
      <w:r w:rsidRPr="00EB54EF">
        <w:rPr>
          <w:rFonts w:cstheme="minorBidi"/>
          <w:sz w:val="26"/>
          <w:szCs w:val="26"/>
        </w:rPr>
        <w:t xml:space="preserve"> Экономия энергетических ресурсов в натуральном выражении составляет не менее 801 тыс. кВт/час;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 - МАОУ «Средняя общеобразовательная школа №5» - на сумму </w:t>
      </w:r>
      <w:r w:rsidRPr="00EB54EF">
        <w:rPr>
          <w:sz w:val="26"/>
          <w:szCs w:val="26"/>
        </w:rPr>
        <w:t>3,243 млн. руб.</w:t>
      </w:r>
      <w:r w:rsidRPr="00EB54EF">
        <w:rPr>
          <w:rFonts w:cstheme="minorBidi"/>
          <w:sz w:val="26"/>
          <w:szCs w:val="26"/>
        </w:rPr>
        <w:t xml:space="preserve"> Экономия энергетических ресурсов в натуральном выражении составляет не менее 1002 тыс. кВт/час.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- муниципальный контракт </w:t>
      </w:r>
      <w:proofErr w:type="spellStart"/>
      <w:r w:rsidRPr="00EB54EF">
        <w:rPr>
          <w:rFonts w:cstheme="minorBidi"/>
          <w:sz w:val="26"/>
          <w:szCs w:val="26"/>
        </w:rPr>
        <w:t>энергосервисного</w:t>
      </w:r>
      <w:proofErr w:type="spellEnd"/>
      <w:r w:rsidRPr="00EB54EF">
        <w:rPr>
          <w:rFonts w:cstheme="minorBidi"/>
          <w:sz w:val="26"/>
          <w:szCs w:val="26"/>
        </w:rPr>
        <w:t xml:space="preserve"> характера по наружному освещению города Когалыма, на сумму </w:t>
      </w:r>
      <w:r w:rsidRPr="00EB54EF">
        <w:rPr>
          <w:sz w:val="26"/>
          <w:szCs w:val="26"/>
        </w:rPr>
        <w:t>51,159 млн. руб</w:t>
      </w:r>
      <w:r w:rsidRPr="00EB54EF">
        <w:rPr>
          <w:rFonts w:cstheme="minorBidi"/>
          <w:sz w:val="26"/>
          <w:szCs w:val="26"/>
        </w:rPr>
        <w:t>., срок действия контракта 6 лет.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- МАОУ «Средняя общеобразовательная школа №3» - на сумму 3,845 </w:t>
      </w:r>
      <w:proofErr w:type="spellStart"/>
      <w:r w:rsidRPr="00EB54EF">
        <w:rPr>
          <w:rFonts w:cstheme="minorBidi"/>
          <w:sz w:val="26"/>
          <w:szCs w:val="26"/>
        </w:rPr>
        <w:t>млн.руб</w:t>
      </w:r>
      <w:proofErr w:type="spellEnd"/>
      <w:r w:rsidRPr="00EB54EF">
        <w:rPr>
          <w:rFonts w:cstheme="minorBidi"/>
          <w:sz w:val="26"/>
          <w:szCs w:val="26"/>
        </w:rPr>
        <w:t xml:space="preserve">. Экономия энергетических ресурсов в натуральном выражении составляет не менее </w:t>
      </w:r>
      <w:r w:rsidRPr="00EB54EF">
        <w:rPr>
          <w:rFonts w:cstheme="minorBidi"/>
          <w:bCs/>
          <w:sz w:val="26"/>
          <w:szCs w:val="26"/>
        </w:rPr>
        <w:t>831 тыс. кВт/час</w:t>
      </w:r>
      <w:r w:rsidRPr="00EB54EF">
        <w:rPr>
          <w:rFonts w:cstheme="minorBidi"/>
          <w:sz w:val="26"/>
          <w:szCs w:val="26"/>
        </w:rPr>
        <w:t>.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  <w:r w:rsidRPr="00EB54EF">
        <w:rPr>
          <w:rFonts w:cstheme="minorBidi"/>
          <w:sz w:val="26"/>
          <w:szCs w:val="26"/>
        </w:rPr>
        <w:t xml:space="preserve">- МАОУ «Средняя общеобразовательная школа №1» - на сумму 4,263 </w:t>
      </w:r>
      <w:proofErr w:type="spellStart"/>
      <w:r w:rsidRPr="00EB54EF">
        <w:rPr>
          <w:rFonts w:cstheme="minorBidi"/>
          <w:sz w:val="26"/>
          <w:szCs w:val="26"/>
        </w:rPr>
        <w:t>млн.руб</w:t>
      </w:r>
      <w:proofErr w:type="spellEnd"/>
      <w:r w:rsidRPr="00EB54EF">
        <w:rPr>
          <w:rFonts w:cstheme="minorBidi"/>
          <w:sz w:val="26"/>
          <w:szCs w:val="26"/>
        </w:rPr>
        <w:t>. Экономия энергетических ресурсов в натуральном выражении составляет не менее 936 тыс.</w:t>
      </w:r>
      <w:r w:rsidRPr="00EB54EF">
        <w:rPr>
          <w:rFonts w:cstheme="minorBidi"/>
          <w:bCs/>
          <w:sz w:val="26"/>
          <w:szCs w:val="26"/>
        </w:rPr>
        <w:t xml:space="preserve"> кВт/час</w:t>
      </w:r>
      <w:r w:rsidRPr="00EB54EF">
        <w:rPr>
          <w:rFonts w:cstheme="minorBidi"/>
          <w:sz w:val="26"/>
          <w:szCs w:val="26"/>
        </w:rPr>
        <w:t>.</w:t>
      </w:r>
    </w:p>
    <w:p w:rsidR="00B710EC" w:rsidRPr="00EB54EF" w:rsidRDefault="00B710EC" w:rsidP="00B710EC">
      <w:pPr>
        <w:ind w:firstLine="709"/>
        <w:jc w:val="both"/>
        <w:rPr>
          <w:rFonts w:cstheme="minorBidi"/>
          <w:sz w:val="26"/>
          <w:szCs w:val="26"/>
        </w:rPr>
      </w:pPr>
    </w:p>
    <w:p w:rsidR="00251FDC" w:rsidRPr="00B710EC" w:rsidRDefault="00251FDC" w:rsidP="00B710EC">
      <w:bookmarkStart w:id="1" w:name="_GoBack"/>
      <w:bookmarkEnd w:id="1"/>
    </w:p>
    <w:sectPr w:rsidR="00251FDC" w:rsidRPr="00B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3B7F6B"/>
    <w:rsid w:val="003D6185"/>
    <w:rsid w:val="007C6A00"/>
    <w:rsid w:val="0098136B"/>
    <w:rsid w:val="00AD2FCF"/>
    <w:rsid w:val="00AE32DC"/>
    <w:rsid w:val="00B44C77"/>
    <w:rsid w:val="00B710EC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admkogalym.ru/investitsionnaya-politika/soveschatelnye-i-koordinacionnye-organy/sovet-po-voprosam-razvitiya-investitsionnoy-deyatelnosti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fondugra.ru/fpu/map-industry" TargetMode="External"/><Relationship Id="rId12" Type="http://schemas.openxmlformats.org/officeDocument/2006/relationships/hyperlink" Target="https://invest.admkogalym.ru/upload/medialibrary/de5/vl5r5grie5d76yai4c7u6k4eyhkdb6bx/%D0%9A%D0%BE%D0%B3%D0%B0%D0%BB%D1%8B%D0%BC.%20%D0%91%D1%80%D0%B5%D0%BD%D0%B4%D0%B1%D1%83%D0%BA.%20%D0%9C%D0%B0%D1%80%D1%82%202023%20%D0%9F%D1%80%D0%B8%D0%BB%D0%BE%D0%B6%D0%B5%D0%BD%D0%B8%D0%B5%201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ugra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ap.investugra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://invest.admkogalym.ru/" TargetMode="External"/><Relationship Id="rId9" Type="http://schemas.openxmlformats.org/officeDocument/2006/relationships/hyperlink" Target="http://admkogalym.ru/economics/formirovanie-usloviy/kordinacioniy%20sovet/soveta-po-voprosam-razvitiya-investitsionnoy-deyatelnosti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2024-04-15T03:47:00Z</dcterms:created>
  <dcterms:modified xsi:type="dcterms:W3CDTF">2024-04-15T03:47:00Z</dcterms:modified>
</cp:coreProperties>
</file>