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48" w:rsidRPr="007E3B49" w:rsidRDefault="00EA5F48" w:rsidP="00EA5F48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76"/>
      <w:r w:rsidRPr="007E3B49">
        <w:rPr>
          <w:sz w:val="26"/>
          <w:szCs w:val="26"/>
          <w:lang w:eastAsia="en-US"/>
        </w:rPr>
        <w:t>6.5. Канализация</w:t>
      </w:r>
      <w:bookmarkEnd w:id="0"/>
      <w:r w:rsidRPr="007E3B49">
        <w:rPr>
          <w:sz w:val="26"/>
          <w:szCs w:val="26"/>
          <w:lang w:eastAsia="en-US"/>
        </w:rPr>
        <w:t xml:space="preserve"> </w:t>
      </w:r>
    </w:p>
    <w:p w:rsidR="00EA5F48" w:rsidRPr="007E3B49" w:rsidRDefault="00EA5F48" w:rsidP="00EA5F48">
      <w:pPr>
        <w:ind w:firstLine="720"/>
        <w:jc w:val="both"/>
        <w:rPr>
          <w:sz w:val="26"/>
          <w:szCs w:val="26"/>
        </w:rPr>
      </w:pPr>
    </w:p>
    <w:p w:rsidR="00EA5F48" w:rsidRPr="007E3B49" w:rsidRDefault="00EA5F48" w:rsidP="00EA5F48">
      <w:pPr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Централизованное водоотведение сточных вод осуществляется двумя канализационными очистными сооружениями, общей производительностью 19 400 м</w:t>
      </w:r>
      <w:r w:rsidRPr="007E3B49">
        <w:rPr>
          <w:sz w:val="26"/>
          <w:szCs w:val="26"/>
          <w:vertAlign w:val="superscript"/>
        </w:rPr>
        <w:t>3</w:t>
      </w:r>
      <w:r w:rsidRPr="007E3B49">
        <w:rPr>
          <w:sz w:val="26"/>
          <w:szCs w:val="26"/>
        </w:rPr>
        <w:t>/час и канализационными сетями протяженностью 106,2</w:t>
      </w:r>
      <w:r w:rsidRPr="007E3B49">
        <w:rPr>
          <w:b/>
          <w:sz w:val="26"/>
          <w:szCs w:val="26"/>
        </w:rPr>
        <w:t xml:space="preserve"> </w:t>
      </w:r>
      <w:r w:rsidRPr="007E3B49">
        <w:rPr>
          <w:sz w:val="26"/>
          <w:szCs w:val="26"/>
        </w:rPr>
        <w:t>км, в том числе ветхих – 2,0 км.</w:t>
      </w:r>
    </w:p>
    <w:p w:rsidR="00EA5F48" w:rsidRPr="007E3B49" w:rsidRDefault="00EA5F48" w:rsidP="00EA5F48">
      <w:pPr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Отвод талых вод и осадков с проезжей части магистральных автодорог и микрорайонов осуществляется централизованной ливневой канализацией, протяженностью – </w:t>
      </w:r>
      <w:smartTag w:uri="urn:schemas-microsoft-com:office:smarttags" w:element="metricconverter">
        <w:smartTagPr>
          <w:attr w:name="ProductID" w:val="43,2 км"/>
        </w:smartTagPr>
        <w:r w:rsidRPr="007E3B49">
          <w:rPr>
            <w:sz w:val="26"/>
            <w:szCs w:val="26"/>
          </w:rPr>
          <w:t>43,2</w:t>
        </w:r>
        <w:r w:rsidRPr="007E3B49">
          <w:rPr>
            <w:color w:val="FF0000"/>
            <w:sz w:val="26"/>
            <w:szCs w:val="26"/>
          </w:rPr>
          <w:t xml:space="preserve"> </w:t>
        </w:r>
        <w:r w:rsidRPr="007E3B49">
          <w:rPr>
            <w:sz w:val="26"/>
            <w:szCs w:val="26"/>
          </w:rPr>
          <w:t>км</w:t>
        </w:r>
      </w:smartTag>
      <w:r w:rsidRPr="007E3B49">
        <w:rPr>
          <w:sz w:val="26"/>
          <w:szCs w:val="26"/>
        </w:rPr>
        <w:t xml:space="preserve">. </w:t>
      </w:r>
    </w:p>
    <w:p w:rsidR="00EA5F48" w:rsidRPr="007E3B49" w:rsidRDefault="00EA5F48" w:rsidP="00EA5F4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Гарантирующим поставщиком услуг по водоснабжению в городе Когалыме в соответствии со «Схемой водоснабжения и водоотведения города Когалыма», утвержденной постановлением Администрации города Когалыма от 25.08.2014 №2170, является ООО «Горводоканал». Схема водоснабжения и водоотведения города Когалыма актуализирована в 2020 году, утверждена постановлением Администрации города Когалыма от 23.03.2020 №539.</w:t>
      </w:r>
    </w:p>
    <w:p w:rsidR="00EA5F48" w:rsidRPr="007E3B49" w:rsidRDefault="00EA5F48" w:rsidP="00EA5F4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Между Администрацией города Когалыма и ООО «Горводоканал» заключено концессионное соглашение №2 от 20.04.2009 в отношении имущественного комплекса «Система водоснабжения и водоотведения города Когалыма» на срок до 31.12.2023.</w:t>
      </w:r>
    </w:p>
    <w:p w:rsidR="00EA5F48" w:rsidRPr="007E3B49" w:rsidRDefault="00EA5F48" w:rsidP="00EA5F48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Мероприятия инвестиционной программы ООО «Горводоканал» по реконструкции, модернизации и развитию систем водоснабжения и водоотведения города Когалыма на 2010-2020 годы завершены в полном объеме. </w:t>
      </w:r>
    </w:p>
    <w:p w:rsidR="00EA5F48" w:rsidRPr="007E3B49" w:rsidRDefault="00EA5F48" w:rsidP="00EA5F48">
      <w:pPr>
        <w:shd w:val="clear" w:color="auto" w:fill="FFFFFF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В целях дальнейшего исполнения концессионного соглашения разработана новая инвестиционная программа ООО «Горводоканал», утвержденная приказом Департамента жилищно-коммунального комплекса и энергетики Ханты-Мансийского автономного округа – Югры от 28.10.2020 №33-Пр-111 «Об утверждении инвестиционной программы ООО «Горводоканал» по реконструкции, модернизации и развитию систем водоснабжения и водоотведения города Когалыма на 2021-2023 годы». </w:t>
      </w:r>
    </w:p>
    <w:p w:rsidR="00EA5F48" w:rsidRPr="007E3B49" w:rsidRDefault="00EA5F48" w:rsidP="00EA5F48">
      <w:pPr>
        <w:shd w:val="clear" w:color="auto" w:fill="FFFFFF"/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В 2021 году ООО «Горводоканал» реализовано потребителям 3382,8 </w:t>
      </w:r>
      <w:r w:rsidRPr="007E3B49">
        <w:rPr>
          <w:b/>
          <w:sz w:val="26"/>
          <w:szCs w:val="26"/>
        </w:rPr>
        <w:t xml:space="preserve"> </w:t>
      </w:r>
      <w:r w:rsidRPr="007E3B49">
        <w:rPr>
          <w:sz w:val="26"/>
          <w:szCs w:val="26"/>
        </w:rPr>
        <w:t>тыс. куб. м. воды на сумму 120,9  млн. рублей, выполнена очистка 3470,0 тыс. куб. м. сточных вод на сумму 119 8 млн. рублей.</w:t>
      </w:r>
    </w:p>
    <w:p w:rsidR="00EA5F48" w:rsidRPr="007E3B49" w:rsidRDefault="00EA5F48" w:rsidP="00EA5F48">
      <w:pPr>
        <w:ind w:firstLine="708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Удельный вес жилищного фонда города Когалыма оборудованного центральным водоснабжением составляет 100 %, водоотведением – 99,9 %.</w:t>
      </w:r>
    </w:p>
    <w:p w:rsidR="00D81954" w:rsidRPr="00EA5F48" w:rsidRDefault="00D81954" w:rsidP="00EA5F48">
      <w:pPr>
        <w:rPr>
          <w:rFonts w:eastAsiaTheme="minorHAnsi"/>
        </w:rPr>
      </w:pPr>
      <w:bookmarkStart w:id="1" w:name="_GoBack"/>
      <w:bookmarkEnd w:id="1"/>
    </w:p>
    <w:sectPr w:rsidR="00D81954" w:rsidRPr="00EA5F48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1F10E7"/>
    <w:rsid w:val="00205444"/>
    <w:rsid w:val="00351586"/>
    <w:rsid w:val="00356C41"/>
    <w:rsid w:val="00365B5F"/>
    <w:rsid w:val="003B0871"/>
    <w:rsid w:val="00456CDB"/>
    <w:rsid w:val="004A764C"/>
    <w:rsid w:val="004E2073"/>
    <w:rsid w:val="00505CA2"/>
    <w:rsid w:val="00525F49"/>
    <w:rsid w:val="005456EC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90D77"/>
    <w:rsid w:val="00EA5F48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  <w:style w:type="paragraph" w:styleId="a4">
    <w:name w:val="Normal (Web)"/>
    <w:basedOn w:val="a"/>
    <w:uiPriority w:val="99"/>
    <w:semiHidden/>
    <w:unhideWhenUsed/>
    <w:rsid w:val="004A764C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2022-04-18T04:10:00Z</dcterms:created>
  <dcterms:modified xsi:type="dcterms:W3CDTF">2022-04-18T04:10:00Z</dcterms:modified>
</cp:coreProperties>
</file>