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A4" w:rsidRPr="004D3B8E" w:rsidRDefault="004D3B8E" w:rsidP="004D3B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D3B8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D3B8E" w:rsidRDefault="004D3B8E" w:rsidP="004D3B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в 2018 году </w:t>
      </w:r>
    </w:p>
    <w:p w:rsidR="004D3B8E" w:rsidRDefault="004D3B8E" w:rsidP="004D3B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«Программы комплексного развития социальной инфраструктуры городского округа город Когалым»</w:t>
      </w:r>
    </w:p>
    <w:p w:rsidR="004D3B8E" w:rsidRDefault="004D3B8E" w:rsidP="004D3B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3B8E" w:rsidRDefault="005F41DA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комплексного развития социальной инфраструктуры городского округа город Когалым утверждена решением Думы города Когал</w:t>
      </w:r>
      <w:r w:rsidR="0091538F">
        <w:rPr>
          <w:rFonts w:ascii="Times New Roman" w:hAnsi="Times New Roman" w:cs="Times New Roman"/>
          <w:sz w:val="26"/>
          <w:szCs w:val="26"/>
        </w:rPr>
        <w:t>ыма от 29.11.2017 №127-ГД (далее – Программа).</w:t>
      </w:r>
    </w:p>
    <w:p w:rsidR="00581593" w:rsidRDefault="00C11183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разработана на основании генерального плана города Когалыма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 и Стратегией социально-экономического развития города Когалыма до 2030 года.</w:t>
      </w:r>
    </w:p>
    <w:p w:rsidR="0091538F" w:rsidRDefault="00FF4A5D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581593" w:rsidRPr="00581593" w:rsidRDefault="00581593" w:rsidP="00581593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rFonts w:eastAsia="Calibri"/>
          <w:sz w:val="26"/>
          <w:szCs w:val="26"/>
          <w:lang w:val="ru-RU" w:eastAsia="ru-RU"/>
        </w:rPr>
        <w:t>- о</w:t>
      </w:r>
      <w:r w:rsidRPr="00581593">
        <w:rPr>
          <w:rFonts w:eastAsia="Calibri"/>
          <w:sz w:val="26"/>
          <w:szCs w:val="26"/>
          <w:lang w:val="ru-RU" w:eastAsia="ru-RU"/>
        </w:rPr>
        <w:t>беспечение сбалансированного перспективного развития социальной инфраструктуры городского округа город Когалыма до 2035 года в соответствии с установленными потребностями в строительстве объ</w:t>
      </w:r>
      <w:r>
        <w:rPr>
          <w:rFonts w:eastAsia="Calibri"/>
          <w:sz w:val="26"/>
          <w:szCs w:val="26"/>
          <w:lang w:val="ru-RU" w:eastAsia="ru-RU"/>
        </w:rPr>
        <w:t>ектов социальной инфраструктуры;</w:t>
      </w:r>
    </w:p>
    <w:p w:rsidR="00581593" w:rsidRPr="00581593" w:rsidRDefault="00581593" w:rsidP="00581593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rFonts w:eastAsia="Calibri"/>
          <w:sz w:val="26"/>
          <w:szCs w:val="26"/>
          <w:lang w:val="ru-RU" w:eastAsia="ru-RU"/>
        </w:rPr>
        <w:t>- о</w:t>
      </w:r>
      <w:r w:rsidRPr="00581593">
        <w:rPr>
          <w:sz w:val="26"/>
          <w:szCs w:val="26"/>
          <w:lang w:val="ru-RU" w:eastAsia="ru-RU"/>
        </w:rPr>
        <w:t>беспечение безопасности, качества и эффективности использования населением объ</w:t>
      </w:r>
      <w:r>
        <w:rPr>
          <w:sz w:val="26"/>
          <w:szCs w:val="26"/>
          <w:lang w:val="ru-RU" w:eastAsia="ru-RU"/>
        </w:rPr>
        <w:t>ектов социальной инфраструктуры;</w:t>
      </w:r>
    </w:p>
    <w:p w:rsidR="00581593" w:rsidRPr="00581593" w:rsidRDefault="00581593" w:rsidP="00581593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rFonts w:eastAsia="Calibri"/>
          <w:sz w:val="26"/>
          <w:szCs w:val="26"/>
          <w:lang w:val="ru-RU" w:eastAsia="ru-RU"/>
        </w:rPr>
        <w:t>- о</w:t>
      </w:r>
      <w:r w:rsidRPr="00581593">
        <w:rPr>
          <w:sz w:val="26"/>
          <w:szCs w:val="26"/>
          <w:lang w:val="ru-RU" w:eastAsia="ru-RU"/>
        </w:rPr>
        <w:t>беспечение доступности объектов социальной инфраструктуры для населения в соответствии с нормативами гр</w:t>
      </w:r>
      <w:r>
        <w:rPr>
          <w:sz w:val="26"/>
          <w:szCs w:val="26"/>
          <w:lang w:val="ru-RU" w:eastAsia="ru-RU"/>
        </w:rPr>
        <w:t>адостроительного проектирования;</w:t>
      </w:r>
    </w:p>
    <w:p w:rsidR="00581593" w:rsidRPr="00581593" w:rsidRDefault="00581593" w:rsidP="00581593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 о</w:t>
      </w:r>
      <w:r w:rsidRPr="00581593">
        <w:rPr>
          <w:sz w:val="26"/>
          <w:szCs w:val="26"/>
          <w:lang w:val="ru-RU" w:eastAsia="ru-RU"/>
        </w:rPr>
        <w:t>беспечение сбалансированного, перспективного развития социальной инфраструктуры в соответствии с установленными потребностями в объ</w:t>
      </w:r>
      <w:r>
        <w:rPr>
          <w:sz w:val="26"/>
          <w:szCs w:val="26"/>
          <w:lang w:val="ru-RU" w:eastAsia="ru-RU"/>
        </w:rPr>
        <w:t>ектах социальной инфраструктуры;</w:t>
      </w:r>
    </w:p>
    <w:p w:rsidR="00581593" w:rsidRDefault="00581593" w:rsidP="00581593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rFonts w:eastAsia="Calibri"/>
          <w:sz w:val="26"/>
          <w:szCs w:val="26"/>
          <w:lang w:val="ru-RU" w:eastAsia="ru-RU"/>
        </w:rPr>
        <w:t>- о</w:t>
      </w:r>
      <w:r w:rsidRPr="00581593">
        <w:rPr>
          <w:sz w:val="26"/>
          <w:szCs w:val="26"/>
          <w:lang w:val="ru-RU" w:eastAsia="ru-RU"/>
        </w:rPr>
        <w:t>беспечение достижения расчетного уровня обеспеченности населения, в соответствии с нормативами гр</w:t>
      </w:r>
      <w:r>
        <w:rPr>
          <w:sz w:val="26"/>
          <w:szCs w:val="26"/>
          <w:lang w:val="ru-RU" w:eastAsia="ru-RU"/>
        </w:rPr>
        <w:t>адостроительного проектирования;</w:t>
      </w:r>
    </w:p>
    <w:p w:rsidR="00FF4A5D" w:rsidRPr="00581593" w:rsidRDefault="00581593" w:rsidP="00581593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rFonts w:eastAsia="Calibri"/>
          <w:sz w:val="26"/>
          <w:szCs w:val="26"/>
          <w:lang w:val="ru-RU" w:eastAsia="ru-RU"/>
        </w:rPr>
        <w:t>- о</w:t>
      </w:r>
      <w:r w:rsidRPr="00581593">
        <w:rPr>
          <w:sz w:val="26"/>
          <w:szCs w:val="26"/>
          <w:lang w:val="ru-RU" w:eastAsia="ru-RU"/>
        </w:rPr>
        <w:t xml:space="preserve">беспечение эффективности </w:t>
      </w:r>
      <w:r>
        <w:rPr>
          <w:sz w:val="26"/>
          <w:szCs w:val="26"/>
          <w:lang w:val="ru-RU" w:eastAsia="ru-RU"/>
        </w:rPr>
        <w:t>функционирования</w:t>
      </w:r>
      <w:r>
        <w:rPr>
          <w:sz w:val="26"/>
          <w:szCs w:val="26"/>
          <w:lang w:eastAsia="ru-RU"/>
        </w:rPr>
        <w:t xml:space="preserve"> действующей социальной </w:t>
      </w:r>
      <w:r w:rsidRPr="00581593">
        <w:rPr>
          <w:sz w:val="26"/>
          <w:szCs w:val="26"/>
          <w:lang w:val="ru-RU" w:eastAsia="ru-RU"/>
        </w:rPr>
        <w:t>инфраструктуры.</w:t>
      </w:r>
    </w:p>
    <w:p w:rsidR="0091538F" w:rsidRDefault="0091538F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38F" w:rsidRDefault="0091538F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мероприятий по реализации Программы </w:t>
      </w:r>
      <w:r w:rsidR="00C11183">
        <w:rPr>
          <w:rFonts w:ascii="Times New Roman" w:hAnsi="Times New Roman" w:cs="Times New Roman"/>
          <w:sz w:val="26"/>
          <w:szCs w:val="26"/>
        </w:rPr>
        <w:t>в 2018 году выполнено следующее.</w:t>
      </w:r>
    </w:p>
    <w:p w:rsidR="00C11183" w:rsidRPr="00C11183" w:rsidRDefault="00C11183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183">
        <w:rPr>
          <w:rFonts w:ascii="Times New Roman" w:hAnsi="Times New Roman" w:cs="Times New Roman"/>
          <w:b/>
          <w:sz w:val="26"/>
          <w:szCs w:val="26"/>
        </w:rPr>
        <w:t>В сфере дошкольного образования:</w:t>
      </w:r>
    </w:p>
    <w:p w:rsidR="00177DA8" w:rsidRPr="00955AAA" w:rsidRDefault="00177DA8" w:rsidP="00177DA8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В целях увеличения количества мест в детских садах в 2018 году было осуществлено уплотнение групп в соответствии с требованиями </w:t>
      </w:r>
      <w:r w:rsidR="00F10DCC">
        <w:rPr>
          <w:sz w:val="26"/>
          <w:szCs w:val="26"/>
          <w:lang w:val="ru-RU" w:eastAsia="ru-RU"/>
        </w:rPr>
        <w:t>санитарных правил и норм</w:t>
      </w:r>
      <w:r>
        <w:rPr>
          <w:sz w:val="26"/>
          <w:szCs w:val="26"/>
          <w:lang w:val="ru-RU" w:eastAsia="ru-RU"/>
        </w:rPr>
        <w:t xml:space="preserve"> в результате чего количество мест в дошкольных образовательных учреждениях по состоянию на 01.01.2019 года увеличилось на 21 место и составило 4 305 мест. Обеспеченность дошкольными образовательными учреждениями составила 86% от норматива.</w:t>
      </w:r>
    </w:p>
    <w:p w:rsidR="001E1EC3" w:rsidRPr="001E1EC3" w:rsidRDefault="00C127A4" w:rsidP="001E1EC3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Для достижения нормативного значения </w:t>
      </w:r>
      <w:r w:rsidR="00CC305A">
        <w:rPr>
          <w:sz w:val="26"/>
          <w:szCs w:val="26"/>
          <w:lang w:val="ru-RU" w:eastAsia="ru-RU"/>
        </w:rPr>
        <w:t>обеспеченности объектами дошкольного образования на</w:t>
      </w:r>
      <w:r w:rsidR="00177DA8">
        <w:rPr>
          <w:sz w:val="26"/>
          <w:szCs w:val="26"/>
          <w:lang w:val="ru-RU" w:eastAsia="ru-RU"/>
        </w:rPr>
        <w:t xml:space="preserve"> </w:t>
      </w:r>
      <w:r w:rsidR="00177DA8" w:rsidRPr="00955AAA">
        <w:rPr>
          <w:sz w:val="26"/>
          <w:szCs w:val="26"/>
          <w:lang w:val="ru-RU" w:eastAsia="ru-RU"/>
        </w:rPr>
        <w:t>2019-2020 год</w:t>
      </w:r>
      <w:r w:rsidR="00CC305A">
        <w:rPr>
          <w:sz w:val="26"/>
          <w:szCs w:val="26"/>
          <w:lang w:val="ru-RU" w:eastAsia="ru-RU"/>
        </w:rPr>
        <w:t>ы</w:t>
      </w:r>
      <w:r w:rsidR="00177DA8">
        <w:rPr>
          <w:sz w:val="26"/>
          <w:szCs w:val="26"/>
          <w:lang w:val="ru-RU" w:eastAsia="ru-RU"/>
        </w:rPr>
        <w:t xml:space="preserve"> запланировано с</w:t>
      </w:r>
      <w:r w:rsidR="00236FB1">
        <w:rPr>
          <w:sz w:val="26"/>
          <w:szCs w:val="26"/>
          <w:lang w:val="ru-RU" w:eastAsia="ru-RU"/>
        </w:rPr>
        <w:t xml:space="preserve">троительство Детского сада на </w:t>
      </w:r>
      <w:r w:rsidR="00177DA8">
        <w:rPr>
          <w:sz w:val="26"/>
          <w:szCs w:val="26"/>
          <w:lang w:val="ru-RU" w:eastAsia="ru-RU"/>
        </w:rPr>
        <w:t>320 мест в 8 микрорайоне города</w:t>
      </w:r>
      <w:r w:rsidR="001E1EC3">
        <w:rPr>
          <w:sz w:val="26"/>
          <w:szCs w:val="26"/>
          <w:lang w:val="ru-RU" w:eastAsia="ru-RU"/>
        </w:rPr>
        <w:t xml:space="preserve"> (</w:t>
      </w:r>
      <w:r w:rsidR="001E1EC3" w:rsidRPr="001E1EC3">
        <w:rPr>
          <w:sz w:val="26"/>
          <w:szCs w:val="26"/>
          <w:lang w:val="ru-RU" w:eastAsia="ru-RU"/>
        </w:rPr>
        <w:t>в рамках реализации Адресной инвестиционной программы</w:t>
      </w:r>
      <w:r w:rsidR="001E1EC3">
        <w:rPr>
          <w:sz w:val="26"/>
          <w:szCs w:val="26"/>
          <w:lang w:val="ru-RU" w:eastAsia="ru-RU"/>
        </w:rPr>
        <w:t>)</w:t>
      </w:r>
      <w:r w:rsidR="001E1EC3" w:rsidRPr="001E1EC3">
        <w:rPr>
          <w:sz w:val="26"/>
          <w:szCs w:val="26"/>
          <w:lang w:val="ru-RU" w:eastAsia="ru-RU"/>
        </w:rPr>
        <w:t>. Уже получены положительные заключения государственной экспертизы проектной документации и сметной стоимости строительства объекта. Предусмотрено финансирование 460 млн. рублей.</w:t>
      </w:r>
    </w:p>
    <w:p w:rsidR="00CC305A" w:rsidRDefault="00CC305A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57C" w:rsidRDefault="00A7257C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57C" w:rsidRDefault="00A7257C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38F" w:rsidRPr="006F3E3D" w:rsidRDefault="006F3E3D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E3D">
        <w:rPr>
          <w:rFonts w:ascii="Times New Roman" w:hAnsi="Times New Roman" w:cs="Times New Roman"/>
          <w:b/>
          <w:sz w:val="26"/>
          <w:szCs w:val="26"/>
        </w:rPr>
        <w:lastRenderedPageBreak/>
        <w:t>В сфере общего образования:</w:t>
      </w:r>
    </w:p>
    <w:p w:rsidR="000A41A2" w:rsidRDefault="000A41A2" w:rsidP="006F3E3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Мощность школ общеобразовательных организаций по состоянию на 01.01.2018 года составляла 5 091 место. В целях увеличения количества мест в школах в 2018 </w:t>
      </w:r>
      <w:r w:rsidR="00F508A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оду проведены мероприятия по оптимизации имеющихся в общеобразовательных организациях площадей, сокращению количества классов-комплектов за счет увеличения наполняемости классов, таким образом за счет перепрофилирования помещений количество мест в школах увеличилось на 724 места и составило 5 815 мест.</w:t>
      </w:r>
    </w:p>
    <w:p w:rsidR="000A41A2" w:rsidRDefault="00177DA8" w:rsidP="006F3E3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фактической обеспеченности учреждениями общего образования детей по состоянию на 01.01.2019 составил 6</w:t>
      </w:r>
      <w:r w:rsidR="000348DE" w:rsidRPr="000348DE">
        <w:rPr>
          <w:rFonts w:ascii="Times New Roman" w:hAnsi="Times New Roman" w:cs="Times New Roman"/>
          <w:sz w:val="26"/>
          <w:szCs w:val="26"/>
        </w:rPr>
        <w:t>7</w:t>
      </w:r>
      <w:r w:rsidR="000348DE">
        <w:rPr>
          <w:rFonts w:ascii="Times New Roman" w:hAnsi="Times New Roman" w:cs="Times New Roman"/>
          <w:sz w:val="26"/>
          <w:szCs w:val="26"/>
        </w:rPr>
        <w:t>,1</w:t>
      </w:r>
      <w:r>
        <w:rPr>
          <w:rFonts w:ascii="Times New Roman" w:hAnsi="Times New Roman" w:cs="Times New Roman"/>
          <w:sz w:val="26"/>
          <w:szCs w:val="26"/>
        </w:rPr>
        <w:t>% от норматива.</w:t>
      </w:r>
    </w:p>
    <w:p w:rsidR="00CC305A" w:rsidRDefault="00CC305A" w:rsidP="00CC305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05A">
        <w:rPr>
          <w:rFonts w:ascii="Times New Roman" w:hAnsi="Times New Roman" w:cs="Times New Roman"/>
          <w:sz w:val="26"/>
          <w:szCs w:val="26"/>
        </w:rPr>
        <w:t>Для достижения нормативного значения обеспеченности объектами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Pr="00CC305A">
        <w:rPr>
          <w:rFonts w:ascii="Times New Roman" w:hAnsi="Times New Roman" w:cs="Times New Roman"/>
          <w:sz w:val="26"/>
          <w:szCs w:val="26"/>
        </w:rPr>
        <w:t xml:space="preserve"> на 2018-2020 годы запланирован</w:t>
      </w:r>
      <w:r>
        <w:rPr>
          <w:rFonts w:ascii="Times New Roman" w:hAnsi="Times New Roman" w:cs="Times New Roman"/>
          <w:sz w:val="26"/>
          <w:szCs w:val="26"/>
        </w:rPr>
        <w:t>о строительство школы с универсальной безбарьерной средой на 1 125 мест</w:t>
      </w:r>
      <w:r w:rsidRPr="00CC305A">
        <w:rPr>
          <w:rFonts w:ascii="Times New Roman" w:hAnsi="Times New Roman" w:cs="Times New Roman"/>
          <w:sz w:val="26"/>
          <w:szCs w:val="26"/>
        </w:rPr>
        <w:t xml:space="preserve">, в рамках Концессионного соглашения. </w:t>
      </w:r>
    </w:p>
    <w:p w:rsidR="00CC305A" w:rsidRDefault="00CC305A" w:rsidP="00CC305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05A">
        <w:rPr>
          <w:rFonts w:ascii="Times New Roman" w:hAnsi="Times New Roman" w:cs="Times New Roman"/>
          <w:sz w:val="26"/>
          <w:szCs w:val="26"/>
        </w:rPr>
        <w:t>Земельный участок подготовлен и обеспечен инженерными сетями</w:t>
      </w:r>
      <w:r>
        <w:rPr>
          <w:rFonts w:ascii="Times New Roman" w:hAnsi="Times New Roman" w:cs="Times New Roman"/>
          <w:sz w:val="26"/>
          <w:szCs w:val="26"/>
        </w:rPr>
        <w:t xml:space="preserve"> (н</w:t>
      </w:r>
      <w:r w:rsidRPr="00A75C6E">
        <w:rPr>
          <w:rFonts w:ascii="Times New Roman" w:hAnsi="Times New Roman" w:cs="Times New Roman"/>
          <w:sz w:val="26"/>
          <w:szCs w:val="26"/>
        </w:rPr>
        <w:t>а границе земельного участка объекта обеспечено технологическое подключение к сетям водоснабжения, водоотведения, теплоснабжения в сентябре 2018 года в рамках муниципальной программы «Развитие образования в городе Когалыме», утвержденной постановлением Администрации город</w:t>
      </w:r>
      <w:r>
        <w:rPr>
          <w:rFonts w:ascii="Times New Roman" w:hAnsi="Times New Roman" w:cs="Times New Roman"/>
          <w:sz w:val="26"/>
          <w:szCs w:val="26"/>
        </w:rPr>
        <w:t xml:space="preserve">а Когалыма от 11.10.2013 №2899». </w:t>
      </w:r>
      <w:r w:rsidRPr="00A75C6E">
        <w:rPr>
          <w:rFonts w:ascii="Times New Roman" w:hAnsi="Times New Roman" w:cs="Times New Roman"/>
          <w:sz w:val="26"/>
          <w:szCs w:val="26"/>
        </w:rPr>
        <w:t>Строительство трансформаторной подстанции и сетей электроснабжения общеобразовательной школы на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C6E">
        <w:rPr>
          <w:rFonts w:ascii="Times New Roman" w:hAnsi="Times New Roman" w:cs="Times New Roman"/>
          <w:sz w:val="26"/>
          <w:szCs w:val="26"/>
        </w:rPr>
        <w:t>125 мест по ул. Сибирской в городе Когалыме включено в инвестиционный проект ОАО «ЮТЭК-Региональные сети».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C305A" w:rsidRDefault="00CC305A" w:rsidP="00CC305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Департаментом образования и молодежной политики ХМАО - Югры утверждено техническое задание</w:t>
      </w:r>
      <w:r w:rsidRPr="005C209B">
        <w:rPr>
          <w:rFonts w:ascii="Times New Roman" w:hAnsi="Times New Roman" w:cs="Times New Roman"/>
          <w:sz w:val="26"/>
          <w:szCs w:val="26"/>
        </w:rPr>
        <w:t xml:space="preserve"> объекта «Средняя общеобразовательная школа в г. Когалыме (Общеобразовательная организация с универсальной безбарьерной средой)».</w:t>
      </w:r>
    </w:p>
    <w:p w:rsidR="00CC305A" w:rsidRPr="00CC305A" w:rsidRDefault="00CC305A" w:rsidP="00CC305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05A">
        <w:rPr>
          <w:rFonts w:ascii="Times New Roman" w:hAnsi="Times New Roman" w:cs="Times New Roman"/>
          <w:sz w:val="26"/>
          <w:szCs w:val="26"/>
        </w:rPr>
        <w:t>Совместно с потенциальным инвестором и ПАО Сбербанк ведется работа по подготовке частной концессионной инициативы для направления в наш адрес.</w:t>
      </w:r>
    </w:p>
    <w:p w:rsidR="000A41A2" w:rsidRDefault="000A41A2" w:rsidP="006F3E3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1D53" w:rsidRPr="005A1D53" w:rsidRDefault="005A1D53" w:rsidP="004D3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D53">
        <w:rPr>
          <w:rFonts w:ascii="Times New Roman" w:hAnsi="Times New Roman" w:cs="Times New Roman"/>
          <w:b/>
          <w:sz w:val="26"/>
          <w:szCs w:val="26"/>
        </w:rPr>
        <w:t>В сфере физической культуры и спорта:</w:t>
      </w:r>
    </w:p>
    <w:p w:rsidR="000A41A2" w:rsidRPr="000A41A2" w:rsidRDefault="000A41A2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 w:rsidRPr="000A41A2">
        <w:rPr>
          <w:sz w:val="26"/>
          <w:szCs w:val="26"/>
          <w:lang w:val="ru-RU" w:eastAsia="ru-RU"/>
        </w:rPr>
        <w:t>В 2018 году количество спортивных сооружений увеличилось на 4 единицы.</w:t>
      </w:r>
    </w:p>
    <w:p w:rsidR="000A41A2" w:rsidRPr="000A41A2" w:rsidRDefault="00F10DCC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</w:t>
      </w:r>
      <w:r w:rsidR="000A41A2" w:rsidRPr="000A41A2">
        <w:rPr>
          <w:sz w:val="26"/>
          <w:szCs w:val="26"/>
          <w:lang w:val="ru-RU" w:eastAsia="ru-RU"/>
        </w:rPr>
        <w:t>ведён в эксплуатацию турниковый комплекс для занятий Street Workout на территории Сквера «Метелица», комбинированная спортивная площадка на территории Сквера «Фестивальный», открыто два спортивных зала в спортивном комплексе «Мечта».</w:t>
      </w:r>
    </w:p>
    <w:p w:rsidR="000A41A2" w:rsidRDefault="000A41A2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 w:rsidRPr="000A41A2">
        <w:rPr>
          <w:sz w:val="26"/>
          <w:szCs w:val="26"/>
          <w:lang w:val="ru-RU" w:eastAsia="ru-RU"/>
        </w:rPr>
        <w:t xml:space="preserve">Единовременная пропускная способность объектов спорта по состоянию на </w:t>
      </w:r>
      <w:r w:rsidR="00F10DCC">
        <w:rPr>
          <w:sz w:val="26"/>
          <w:szCs w:val="26"/>
          <w:lang w:val="ru-RU" w:eastAsia="ru-RU"/>
        </w:rPr>
        <w:t>01.01.2019 года</w:t>
      </w:r>
      <w:r w:rsidRPr="000A41A2">
        <w:rPr>
          <w:sz w:val="26"/>
          <w:szCs w:val="26"/>
          <w:lang w:val="ru-RU" w:eastAsia="ru-RU"/>
        </w:rPr>
        <w:t xml:space="preserve"> составила 44% от норматива.</w:t>
      </w:r>
    </w:p>
    <w:p w:rsidR="000A41A2" w:rsidRPr="000A41A2" w:rsidRDefault="000A41A2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Уровень фактической обеспеченности спортивными залами составил 87,5% от норматива, бассейнами – 17,7%, плоскостными спортивными сооружениями – 39,7%.</w:t>
      </w:r>
    </w:p>
    <w:p w:rsidR="00E723DA" w:rsidRDefault="00E723DA" w:rsidP="000348DE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 2018 году п</w:t>
      </w:r>
      <w:r w:rsidRPr="000A41A2">
        <w:rPr>
          <w:sz w:val="26"/>
          <w:szCs w:val="26"/>
          <w:lang w:val="ru-RU" w:eastAsia="ru-RU"/>
        </w:rPr>
        <w:t>о Соглашению с нефтяной компанией ЛУКОЙЛ и Правительством Югры начаты мероприятия по проектированию Регионального центра спортивн</w:t>
      </w:r>
      <w:r>
        <w:rPr>
          <w:sz w:val="26"/>
          <w:szCs w:val="26"/>
          <w:lang w:val="ru-RU" w:eastAsia="ru-RU"/>
        </w:rPr>
        <w:t>ой подготовки в городе Когалыме</w:t>
      </w:r>
      <w:r w:rsidR="00AC02EA">
        <w:rPr>
          <w:sz w:val="26"/>
          <w:szCs w:val="26"/>
          <w:lang w:val="ru-RU" w:eastAsia="ru-RU"/>
        </w:rPr>
        <w:t>.</w:t>
      </w:r>
      <w:r>
        <w:rPr>
          <w:sz w:val="26"/>
          <w:szCs w:val="26"/>
          <w:lang w:val="ru-RU" w:eastAsia="ru-RU"/>
        </w:rPr>
        <w:t xml:space="preserve"> </w:t>
      </w:r>
    </w:p>
    <w:p w:rsidR="000348DE" w:rsidRDefault="000348DE" w:rsidP="000348DE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Целевые индикаторы Программы представлены в приложении </w:t>
      </w:r>
      <w:r w:rsidR="001024CA">
        <w:rPr>
          <w:sz w:val="26"/>
          <w:szCs w:val="26"/>
          <w:lang w:val="ru-RU" w:eastAsia="ru-RU"/>
        </w:rPr>
        <w:t xml:space="preserve">1 </w:t>
      </w:r>
      <w:r>
        <w:rPr>
          <w:sz w:val="26"/>
          <w:szCs w:val="26"/>
          <w:lang w:val="ru-RU" w:eastAsia="ru-RU"/>
        </w:rPr>
        <w:t>к Отчету.</w:t>
      </w:r>
    </w:p>
    <w:p w:rsidR="000348DE" w:rsidRDefault="001024CA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Фактические затраты на реализацию мероприятий в 2018 году составили 28 126,3 тыс. рублей (информация представлена в приложении 2 к Отчету).</w:t>
      </w:r>
    </w:p>
    <w:p w:rsidR="001024CA" w:rsidRDefault="001024CA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</w:p>
    <w:p w:rsidR="00E723DA" w:rsidRDefault="00E723DA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 2019-2030 годах запланировано строительство следующих объектов:</w:t>
      </w:r>
    </w:p>
    <w:p w:rsidR="009C4F1D" w:rsidRDefault="009C4F1D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</w:t>
      </w:r>
      <w:r w:rsidR="00E723DA">
        <w:rPr>
          <w:sz w:val="26"/>
          <w:szCs w:val="26"/>
          <w:lang w:val="ru-RU" w:eastAsia="ru-RU"/>
        </w:rPr>
        <w:t xml:space="preserve"> Региональный центр спортивной подготовки</w:t>
      </w:r>
      <w:r>
        <w:rPr>
          <w:sz w:val="26"/>
          <w:szCs w:val="26"/>
          <w:lang w:val="ru-RU" w:eastAsia="ru-RU"/>
        </w:rPr>
        <w:t>;</w:t>
      </w:r>
    </w:p>
    <w:p w:rsidR="00E723DA" w:rsidRDefault="00E723DA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- </w:t>
      </w:r>
      <w:r w:rsidRPr="00C64477">
        <w:rPr>
          <w:sz w:val="26"/>
          <w:szCs w:val="26"/>
          <w:lang w:val="ru-RU" w:eastAsia="ru-RU"/>
        </w:rPr>
        <w:t>теннисн</w:t>
      </w:r>
      <w:r>
        <w:rPr>
          <w:sz w:val="26"/>
          <w:szCs w:val="26"/>
          <w:lang w:val="ru-RU" w:eastAsia="ru-RU"/>
        </w:rPr>
        <w:t>ый</w:t>
      </w:r>
      <w:r w:rsidRPr="00C64477">
        <w:rPr>
          <w:sz w:val="26"/>
          <w:szCs w:val="26"/>
          <w:lang w:val="ru-RU" w:eastAsia="ru-RU"/>
        </w:rPr>
        <w:t xml:space="preserve"> центр</w:t>
      </w:r>
      <w:r>
        <w:rPr>
          <w:sz w:val="26"/>
          <w:szCs w:val="26"/>
          <w:lang w:val="ru-RU" w:eastAsia="ru-RU"/>
        </w:rPr>
        <w:t xml:space="preserve"> и </w:t>
      </w:r>
      <w:r w:rsidRPr="00C64477">
        <w:rPr>
          <w:sz w:val="26"/>
          <w:szCs w:val="26"/>
          <w:lang w:val="ru-RU" w:eastAsia="ru-RU"/>
        </w:rPr>
        <w:t>футбольн</w:t>
      </w:r>
      <w:r>
        <w:rPr>
          <w:sz w:val="26"/>
          <w:szCs w:val="26"/>
          <w:lang w:val="ru-RU" w:eastAsia="ru-RU"/>
        </w:rPr>
        <w:t>ый</w:t>
      </w:r>
      <w:r w:rsidRPr="00C64477">
        <w:rPr>
          <w:sz w:val="26"/>
          <w:szCs w:val="26"/>
          <w:lang w:val="ru-RU" w:eastAsia="ru-RU"/>
        </w:rPr>
        <w:t xml:space="preserve"> стадион (манеж)</w:t>
      </w:r>
      <w:r>
        <w:rPr>
          <w:sz w:val="26"/>
          <w:szCs w:val="26"/>
          <w:lang w:val="ru-RU" w:eastAsia="ru-RU"/>
        </w:rPr>
        <w:t>;</w:t>
      </w:r>
    </w:p>
    <w:p w:rsidR="000A41A2" w:rsidRDefault="009C4F1D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lastRenderedPageBreak/>
        <w:t>- общеобразовательн</w:t>
      </w:r>
      <w:r w:rsidR="00E723DA">
        <w:rPr>
          <w:sz w:val="26"/>
          <w:szCs w:val="26"/>
          <w:lang w:val="ru-RU" w:eastAsia="ru-RU"/>
        </w:rPr>
        <w:t>ая</w:t>
      </w:r>
      <w:r>
        <w:rPr>
          <w:sz w:val="26"/>
          <w:szCs w:val="26"/>
          <w:lang w:val="ru-RU" w:eastAsia="ru-RU"/>
        </w:rPr>
        <w:t xml:space="preserve"> школ</w:t>
      </w:r>
      <w:r w:rsidR="00E723DA">
        <w:rPr>
          <w:sz w:val="26"/>
          <w:szCs w:val="26"/>
          <w:lang w:val="ru-RU" w:eastAsia="ru-RU"/>
        </w:rPr>
        <w:t>а</w:t>
      </w:r>
      <w:r>
        <w:rPr>
          <w:sz w:val="26"/>
          <w:szCs w:val="26"/>
          <w:lang w:val="ru-RU" w:eastAsia="ru-RU"/>
        </w:rPr>
        <w:t xml:space="preserve"> на 1 125 мест</w:t>
      </w:r>
      <w:r w:rsidR="00043032">
        <w:rPr>
          <w:sz w:val="26"/>
          <w:szCs w:val="26"/>
          <w:lang w:val="ru-RU" w:eastAsia="ru-RU"/>
        </w:rPr>
        <w:t>;</w:t>
      </w:r>
    </w:p>
    <w:p w:rsidR="00043032" w:rsidRDefault="00043032" w:rsidP="000A41A2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- </w:t>
      </w:r>
      <w:r w:rsidR="00A93AD1">
        <w:rPr>
          <w:sz w:val="26"/>
          <w:szCs w:val="26"/>
          <w:lang w:val="ru-RU" w:eastAsia="ru-RU"/>
        </w:rPr>
        <w:t>д</w:t>
      </w:r>
      <w:r>
        <w:rPr>
          <w:sz w:val="26"/>
          <w:szCs w:val="26"/>
          <w:lang w:val="ru-RU" w:eastAsia="ru-RU"/>
        </w:rPr>
        <w:t>етский сад на 320 мест.</w:t>
      </w:r>
    </w:p>
    <w:p w:rsidR="00E723DA" w:rsidRDefault="00E723DA" w:rsidP="00E723DA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Строительство и ввод данных объектов </w:t>
      </w:r>
      <w:r w:rsidR="00C64477">
        <w:rPr>
          <w:sz w:val="26"/>
          <w:szCs w:val="26"/>
          <w:lang w:val="ru-RU" w:eastAsia="ru-RU"/>
        </w:rPr>
        <w:t>позволят увеличить обеспеченность объектами социальной инфраструктуры, в частности планируется, что обеспеченность дошкольными организациями достигнет 100% к нормативу уже в 2024 году, а обеспеченность общеобразовательными организациями составит 78% к нормативу в 2024 году и достигнет 90% к 2030 году.</w:t>
      </w:r>
      <w:r w:rsidRPr="00E723DA">
        <w:rPr>
          <w:sz w:val="26"/>
          <w:szCs w:val="26"/>
          <w:lang w:val="ru-RU" w:eastAsia="ru-RU"/>
        </w:rPr>
        <w:t xml:space="preserve"> </w:t>
      </w:r>
    </w:p>
    <w:p w:rsidR="00A93AD1" w:rsidRDefault="00A93AD1" w:rsidP="00E723DA">
      <w:pPr>
        <w:pStyle w:val="a3"/>
        <w:tabs>
          <w:tab w:val="left" w:pos="360"/>
        </w:tabs>
        <w:spacing w:before="0" w:after="0"/>
        <w:ind w:firstLine="709"/>
        <w:rPr>
          <w:sz w:val="26"/>
          <w:szCs w:val="26"/>
          <w:lang w:val="ru-RU" w:eastAsia="ru-RU"/>
        </w:rPr>
      </w:pPr>
    </w:p>
    <w:sectPr w:rsidR="00A93AD1" w:rsidSect="00581593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C7" w:rsidRDefault="004206C7" w:rsidP="00E25008">
      <w:pPr>
        <w:spacing w:after="0" w:line="240" w:lineRule="auto"/>
      </w:pPr>
      <w:r>
        <w:separator/>
      </w:r>
    </w:p>
  </w:endnote>
  <w:endnote w:type="continuationSeparator" w:id="0">
    <w:p w:rsidR="004206C7" w:rsidRDefault="004206C7" w:rsidP="00E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326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25008" w:rsidRPr="00E25008" w:rsidRDefault="00E25008">
        <w:pPr>
          <w:pStyle w:val="ad"/>
          <w:jc w:val="center"/>
          <w:rPr>
            <w:rFonts w:ascii="Times New Roman" w:hAnsi="Times New Roman" w:cs="Times New Roman"/>
          </w:rPr>
        </w:pPr>
        <w:r w:rsidRPr="00E25008">
          <w:rPr>
            <w:rFonts w:ascii="Times New Roman" w:hAnsi="Times New Roman" w:cs="Times New Roman"/>
          </w:rPr>
          <w:fldChar w:fldCharType="begin"/>
        </w:r>
        <w:r w:rsidRPr="00E25008">
          <w:rPr>
            <w:rFonts w:ascii="Times New Roman" w:hAnsi="Times New Roman" w:cs="Times New Roman"/>
          </w:rPr>
          <w:instrText>PAGE   \* MERGEFORMAT</w:instrText>
        </w:r>
        <w:r w:rsidRPr="00E25008">
          <w:rPr>
            <w:rFonts w:ascii="Times New Roman" w:hAnsi="Times New Roman" w:cs="Times New Roman"/>
          </w:rPr>
          <w:fldChar w:fldCharType="separate"/>
        </w:r>
        <w:r w:rsidR="007954ED">
          <w:rPr>
            <w:rFonts w:ascii="Times New Roman" w:hAnsi="Times New Roman" w:cs="Times New Roman"/>
            <w:noProof/>
          </w:rPr>
          <w:t>1</w:t>
        </w:r>
        <w:r w:rsidRPr="00E25008">
          <w:rPr>
            <w:rFonts w:ascii="Times New Roman" w:hAnsi="Times New Roman" w:cs="Times New Roman"/>
          </w:rPr>
          <w:fldChar w:fldCharType="end"/>
        </w:r>
      </w:p>
    </w:sdtContent>
  </w:sdt>
  <w:p w:rsidR="00E25008" w:rsidRDefault="00E250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C7" w:rsidRDefault="004206C7" w:rsidP="00E25008">
      <w:pPr>
        <w:spacing w:after="0" w:line="240" w:lineRule="auto"/>
      </w:pPr>
      <w:r>
        <w:separator/>
      </w:r>
    </w:p>
  </w:footnote>
  <w:footnote w:type="continuationSeparator" w:id="0">
    <w:p w:rsidR="004206C7" w:rsidRDefault="004206C7" w:rsidP="00E2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B"/>
    <w:rsid w:val="000348DE"/>
    <w:rsid w:val="00043032"/>
    <w:rsid w:val="000A41A2"/>
    <w:rsid w:val="000D189B"/>
    <w:rsid w:val="001024CA"/>
    <w:rsid w:val="00177DA8"/>
    <w:rsid w:val="001E1EC3"/>
    <w:rsid w:val="00236FB1"/>
    <w:rsid w:val="002C3917"/>
    <w:rsid w:val="003F1EFD"/>
    <w:rsid w:val="004206C7"/>
    <w:rsid w:val="0047439F"/>
    <w:rsid w:val="004D2882"/>
    <w:rsid w:val="004D3B8E"/>
    <w:rsid w:val="00581593"/>
    <w:rsid w:val="005A1D53"/>
    <w:rsid w:val="005F41DA"/>
    <w:rsid w:val="00691B9B"/>
    <w:rsid w:val="006F3E3D"/>
    <w:rsid w:val="007954ED"/>
    <w:rsid w:val="0091538F"/>
    <w:rsid w:val="00955AAA"/>
    <w:rsid w:val="009C4F1D"/>
    <w:rsid w:val="00A07953"/>
    <w:rsid w:val="00A51CBE"/>
    <w:rsid w:val="00A6313C"/>
    <w:rsid w:val="00A7257C"/>
    <w:rsid w:val="00A93AD1"/>
    <w:rsid w:val="00AC02EA"/>
    <w:rsid w:val="00B558CD"/>
    <w:rsid w:val="00BD0F2E"/>
    <w:rsid w:val="00C11183"/>
    <w:rsid w:val="00C127A4"/>
    <w:rsid w:val="00C232A5"/>
    <w:rsid w:val="00C64477"/>
    <w:rsid w:val="00C8381A"/>
    <w:rsid w:val="00C9625D"/>
    <w:rsid w:val="00CC305A"/>
    <w:rsid w:val="00E25008"/>
    <w:rsid w:val="00E723DA"/>
    <w:rsid w:val="00F020DA"/>
    <w:rsid w:val="00F10DCC"/>
    <w:rsid w:val="00F1470E"/>
    <w:rsid w:val="00F508AF"/>
    <w:rsid w:val="00F94DA4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EDB682-C742-4DBD-A61B-AF53A7C0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link w:val="a4"/>
    <w:rsid w:val="00581593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Список Знак"/>
    <w:link w:val="a3"/>
    <w:rsid w:val="00581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C11183"/>
    <w:pPr>
      <w:ind w:left="720"/>
      <w:contextualSpacing/>
    </w:pPr>
  </w:style>
  <w:style w:type="paragraph" w:styleId="a7">
    <w:name w:val="No Spacing"/>
    <w:uiPriority w:val="1"/>
    <w:qFormat/>
    <w:rsid w:val="006F3E3D"/>
    <w:pPr>
      <w:spacing w:after="0" w:line="240" w:lineRule="auto"/>
    </w:pPr>
  </w:style>
  <w:style w:type="character" w:customStyle="1" w:styleId="a6">
    <w:name w:val="Абзац списка Знак"/>
    <w:basedOn w:val="a0"/>
    <w:link w:val="a5"/>
    <w:uiPriority w:val="34"/>
    <w:locked/>
    <w:rsid w:val="00955AAA"/>
  </w:style>
  <w:style w:type="table" w:styleId="a8">
    <w:name w:val="Table Grid"/>
    <w:basedOn w:val="a1"/>
    <w:uiPriority w:val="59"/>
    <w:rsid w:val="00C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03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5008"/>
  </w:style>
  <w:style w:type="paragraph" w:styleId="ad">
    <w:name w:val="footer"/>
    <w:basedOn w:val="a"/>
    <w:link w:val="ae"/>
    <w:uiPriority w:val="99"/>
    <w:unhideWhenUsed/>
    <w:rsid w:val="00E2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Гариева Лилия Владимировна</cp:lastModifiedBy>
  <cp:revision>2</cp:revision>
  <cp:lastPrinted>2019-04-16T06:17:00Z</cp:lastPrinted>
  <dcterms:created xsi:type="dcterms:W3CDTF">2021-09-24T07:10:00Z</dcterms:created>
  <dcterms:modified xsi:type="dcterms:W3CDTF">2021-09-24T07:10:00Z</dcterms:modified>
</cp:coreProperties>
</file>