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32" w:rsidRDefault="00013D32" w:rsidP="0001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6561E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Российской Федерации от 18 мая 2022 года №895 «Об утверждении Правил предоставления субсидий из федерального бюджета кредитным организациям на возмещение недополученных доходов по кредитам, выданным на приобретение приоритетной для импорта продукции» (далее – Постановление №895) информируем о запуске программы </w:t>
      </w:r>
      <w:bookmarkStart w:id="0" w:name="_GoBack"/>
      <w:r w:rsidRPr="0066561E">
        <w:rPr>
          <w:rFonts w:ascii="Times New Roman" w:hAnsi="Times New Roman" w:cs="Times New Roman"/>
          <w:sz w:val="26"/>
          <w:szCs w:val="26"/>
        </w:rPr>
        <w:t>льготного кредитования российских организаций на приобретение приоритетной для импорта продукции</w:t>
      </w:r>
      <w:bookmarkEnd w:id="0"/>
      <w:r w:rsidRPr="006656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D32" w:rsidRDefault="00013D32" w:rsidP="0001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61E">
        <w:rPr>
          <w:rFonts w:ascii="Times New Roman" w:hAnsi="Times New Roman" w:cs="Times New Roman"/>
          <w:sz w:val="26"/>
          <w:szCs w:val="26"/>
        </w:rPr>
        <w:t xml:space="preserve">Механизм льготного кредитования направлен на привлечение импортерами финансирования в рублях по кредитам на закупку материалов, компонентов, комплектующих, сырья и оборудования для производственных нужд из Перечня приоритетной для импорта продукции, утвержденного Постановлением №895, включая транспортировку приобретаемой продукции. </w:t>
      </w:r>
    </w:p>
    <w:p w:rsidR="00013D32" w:rsidRDefault="00013D32" w:rsidP="0001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61E">
        <w:rPr>
          <w:rFonts w:ascii="Times New Roman" w:hAnsi="Times New Roman" w:cs="Times New Roman"/>
          <w:sz w:val="26"/>
          <w:szCs w:val="26"/>
        </w:rPr>
        <w:t>Постановлением №895 установлен период субсидирования до 12 месяцев в целях финансирования импортного контракта на приобретение приоритетной продукции или до 36 месяцев на приобретение продукции для инвестиционных целей или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61E">
        <w:rPr>
          <w:rFonts w:ascii="Times New Roman" w:hAnsi="Times New Roman" w:cs="Times New Roman"/>
          <w:sz w:val="26"/>
          <w:szCs w:val="26"/>
        </w:rPr>
        <w:t xml:space="preserve">импортного контракта, по которому изготовление и поставка продукции, являющейся оборудованием и (или) средством производства, превышает 12 месяцев, но не более срока действия кредитного соглашения. По решению Правительства Российской Федерации может быть установлен иной срок субсидирования. </w:t>
      </w:r>
    </w:p>
    <w:p w:rsidR="00013D32" w:rsidRDefault="00013D32" w:rsidP="0001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61E">
        <w:rPr>
          <w:rFonts w:ascii="Times New Roman" w:hAnsi="Times New Roman" w:cs="Times New Roman"/>
          <w:sz w:val="26"/>
          <w:szCs w:val="26"/>
        </w:rPr>
        <w:t xml:space="preserve">При этом субсидия составит 70 процентов значения ключевой ставки Банка России, а льготная ставка для заемщика – 30 процентов значения ключевой ставки Банка России, увеличенной не более чем на 3 процентных пункта. </w:t>
      </w:r>
    </w:p>
    <w:p w:rsidR="00013D32" w:rsidRDefault="00013D32" w:rsidP="0001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61E">
        <w:rPr>
          <w:rFonts w:ascii="Times New Roman" w:hAnsi="Times New Roman" w:cs="Times New Roman"/>
          <w:sz w:val="26"/>
          <w:szCs w:val="26"/>
        </w:rPr>
        <w:t>Планируемый объем государственной поддержки в 2022 году составляет 37,1 млрд рублей, что позволит предоставить льготное финансирование не менее 800 млрд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6561E">
        <w:rPr>
          <w:rFonts w:ascii="Times New Roman" w:hAnsi="Times New Roman" w:cs="Times New Roman"/>
          <w:sz w:val="26"/>
          <w:szCs w:val="26"/>
        </w:rPr>
        <w:t xml:space="preserve"> рублей импортных поставок.</w:t>
      </w:r>
    </w:p>
    <w:p w:rsidR="00F0209D" w:rsidRDefault="00F0209D"/>
    <w:sectPr w:rsidR="00F0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2"/>
    <w:rsid w:val="00013D32"/>
    <w:rsid w:val="00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C864-3403-4DF6-9583-0230592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2022-06-02T06:25:00Z</dcterms:created>
  <dcterms:modified xsi:type="dcterms:W3CDTF">2022-06-02T06:27:00Z</dcterms:modified>
</cp:coreProperties>
</file>